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D4" w:rsidRPr="008458BB" w:rsidRDefault="00E407D4" w:rsidP="00391EB4">
      <w:pPr>
        <w:contextualSpacing/>
        <w:jc w:val="both"/>
        <w:rPr>
          <w:rFonts w:ascii="Arial" w:hAnsi="Arial" w:cs="Arial"/>
          <w:b/>
          <w:i/>
          <w:sz w:val="28"/>
          <w:szCs w:val="28"/>
        </w:rPr>
      </w:pPr>
    </w:p>
    <w:p w:rsidR="00E407D4" w:rsidRPr="008458BB" w:rsidRDefault="00E407D4" w:rsidP="00391EB4">
      <w:pPr>
        <w:contextualSpacing/>
        <w:jc w:val="both"/>
        <w:rPr>
          <w:rFonts w:ascii="Arial" w:hAnsi="Arial" w:cs="Arial"/>
          <w:b/>
        </w:rPr>
      </w:pPr>
    </w:p>
    <w:tbl>
      <w:tblPr>
        <w:tblStyle w:val="TableGrid"/>
        <w:tblW w:w="11520" w:type="dxa"/>
        <w:tblInd w:w="-612" w:type="dxa"/>
        <w:tblLook w:val="04A0" w:firstRow="1" w:lastRow="0" w:firstColumn="1" w:lastColumn="0" w:noHBand="0" w:noVBand="1"/>
      </w:tblPr>
      <w:tblGrid>
        <w:gridCol w:w="2880"/>
        <w:gridCol w:w="8640"/>
      </w:tblGrid>
      <w:tr w:rsidR="00E42D3B" w:rsidRPr="008458BB" w:rsidTr="00AF5A1C">
        <w:tc>
          <w:tcPr>
            <w:tcW w:w="2880" w:type="dxa"/>
          </w:tcPr>
          <w:p w:rsidR="00E42D3B" w:rsidRPr="008458BB" w:rsidRDefault="00E42D3B" w:rsidP="00391EB4">
            <w:pPr>
              <w:contextualSpacing/>
              <w:jc w:val="both"/>
              <w:rPr>
                <w:rFonts w:ascii="Arial" w:hAnsi="Arial" w:cs="Arial"/>
                <w:b/>
              </w:rPr>
            </w:pPr>
            <w:r w:rsidRPr="008458BB">
              <w:rPr>
                <w:rFonts w:ascii="Arial" w:hAnsi="Arial" w:cs="Arial"/>
                <w:b/>
              </w:rPr>
              <w:t>Property Address:</w:t>
            </w:r>
          </w:p>
        </w:tc>
        <w:tc>
          <w:tcPr>
            <w:tcW w:w="8640" w:type="dxa"/>
          </w:tcPr>
          <w:p w:rsidR="00E42D3B" w:rsidRPr="008458BB" w:rsidRDefault="00E42D3B" w:rsidP="00391EB4">
            <w:pPr>
              <w:contextualSpacing/>
              <w:jc w:val="both"/>
              <w:rPr>
                <w:rFonts w:ascii="Arial" w:hAnsi="Arial" w:cs="Arial"/>
              </w:rPr>
            </w:pPr>
          </w:p>
        </w:tc>
      </w:tr>
      <w:tr w:rsidR="00E42D3B" w:rsidRPr="008458BB" w:rsidTr="00AF5A1C">
        <w:tc>
          <w:tcPr>
            <w:tcW w:w="2880" w:type="dxa"/>
          </w:tcPr>
          <w:p w:rsidR="00E42D3B" w:rsidRPr="008458BB" w:rsidRDefault="00E42D3B" w:rsidP="00391EB4">
            <w:pPr>
              <w:contextualSpacing/>
              <w:jc w:val="both"/>
              <w:rPr>
                <w:rFonts w:ascii="Arial" w:hAnsi="Arial" w:cs="Arial"/>
                <w:b/>
              </w:rPr>
            </w:pPr>
            <w:r w:rsidRPr="008458BB">
              <w:rPr>
                <w:rFonts w:ascii="Arial" w:hAnsi="Arial" w:cs="Arial"/>
                <w:b/>
              </w:rPr>
              <w:t>Property Description:</w:t>
            </w:r>
          </w:p>
        </w:tc>
        <w:tc>
          <w:tcPr>
            <w:tcW w:w="8640" w:type="dxa"/>
          </w:tcPr>
          <w:p w:rsidR="00E42D3B" w:rsidRPr="008458BB" w:rsidRDefault="00E42D3B" w:rsidP="00391EB4">
            <w:pPr>
              <w:contextualSpacing/>
              <w:jc w:val="both"/>
              <w:rPr>
                <w:rFonts w:ascii="Arial" w:hAnsi="Arial" w:cs="Arial"/>
              </w:rPr>
            </w:pPr>
          </w:p>
        </w:tc>
      </w:tr>
      <w:tr w:rsidR="00E42D3B" w:rsidRPr="008458BB" w:rsidTr="00AF5A1C">
        <w:tc>
          <w:tcPr>
            <w:tcW w:w="2880" w:type="dxa"/>
          </w:tcPr>
          <w:p w:rsidR="00E42D3B" w:rsidRPr="008458BB" w:rsidRDefault="00E42D3B" w:rsidP="00391EB4">
            <w:pPr>
              <w:contextualSpacing/>
              <w:jc w:val="both"/>
              <w:rPr>
                <w:rFonts w:ascii="Arial" w:hAnsi="Arial" w:cs="Arial"/>
                <w:b/>
              </w:rPr>
            </w:pPr>
            <w:r w:rsidRPr="008458BB">
              <w:rPr>
                <w:rFonts w:ascii="Arial" w:hAnsi="Arial" w:cs="Arial"/>
                <w:b/>
              </w:rPr>
              <w:t>Date Acquired:</w:t>
            </w:r>
          </w:p>
        </w:tc>
        <w:tc>
          <w:tcPr>
            <w:tcW w:w="8640" w:type="dxa"/>
          </w:tcPr>
          <w:p w:rsidR="00E42D3B" w:rsidRPr="008458BB" w:rsidRDefault="00E42D3B" w:rsidP="00391EB4">
            <w:pPr>
              <w:contextualSpacing/>
              <w:jc w:val="both"/>
              <w:rPr>
                <w:rFonts w:ascii="Arial" w:hAnsi="Arial" w:cs="Arial"/>
              </w:rPr>
            </w:pPr>
          </w:p>
        </w:tc>
      </w:tr>
    </w:tbl>
    <w:p w:rsidR="00E42D3B" w:rsidRPr="008458BB" w:rsidRDefault="00E42D3B" w:rsidP="00391EB4">
      <w:pPr>
        <w:contextualSpacing/>
        <w:jc w:val="both"/>
        <w:rPr>
          <w:rFonts w:ascii="Arial" w:hAnsi="Arial" w:cs="Arial"/>
          <w:b/>
        </w:rPr>
      </w:pPr>
    </w:p>
    <w:p w:rsidR="00391EB4" w:rsidRPr="008458BB" w:rsidRDefault="00693512" w:rsidP="008458BB">
      <w:pPr>
        <w:contextualSpacing/>
        <w:jc w:val="both"/>
        <w:rPr>
          <w:rFonts w:ascii="Arial" w:hAnsi="Arial" w:cs="Arial"/>
          <w:u w:val="single"/>
        </w:rPr>
      </w:pPr>
      <w:r w:rsidRPr="008458BB">
        <w:rPr>
          <w:rFonts w:ascii="Arial" w:hAnsi="Arial" w:cs="Arial"/>
          <w:b/>
        </w:rPr>
        <w:t>Step 1:</w:t>
      </w:r>
      <w:r w:rsidR="009C67B5" w:rsidRPr="008458BB">
        <w:rPr>
          <w:rFonts w:ascii="Arial" w:hAnsi="Arial" w:cs="Arial"/>
          <w:b/>
        </w:rPr>
        <w:t xml:space="preserve"> </w:t>
      </w:r>
      <w:r w:rsidR="00482BF2" w:rsidRPr="008458BB">
        <w:rPr>
          <w:rFonts w:ascii="Arial" w:hAnsi="Arial" w:cs="Arial"/>
          <w:b/>
        </w:rPr>
        <w:t>Complete the questions below</w:t>
      </w:r>
    </w:p>
    <w:tbl>
      <w:tblPr>
        <w:tblStyle w:val="TableGrid"/>
        <w:tblW w:w="10098" w:type="dxa"/>
        <w:tblLook w:val="04A0" w:firstRow="1" w:lastRow="0" w:firstColumn="1" w:lastColumn="0" w:noHBand="0" w:noVBand="1"/>
      </w:tblPr>
      <w:tblGrid>
        <w:gridCol w:w="6408"/>
        <w:gridCol w:w="1890"/>
        <w:gridCol w:w="1800"/>
      </w:tblGrid>
      <w:tr w:rsidR="00482BF2" w:rsidRPr="008458BB" w:rsidTr="008458BB">
        <w:tc>
          <w:tcPr>
            <w:tcW w:w="6408" w:type="dxa"/>
          </w:tcPr>
          <w:p w:rsidR="00482BF2" w:rsidRPr="008458BB" w:rsidRDefault="00482BF2" w:rsidP="00391EB4">
            <w:pPr>
              <w:contextualSpacing/>
              <w:jc w:val="both"/>
              <w:rPr>
                <w:rFonts w:ascii="Arial" w:hAnsi="Arial" w:cs="Arial"/>
                <w:sz w:val="21"/>
                <w:szCs w:val="21"/>
              </w:rPr>
            </w:pPr>
          </w:p>
        </w:tc>
        <w:tc>
          <w:tcPr>
            <w:tcW w:w="1890" w:type="dxa"/>
            <w:vAlign w:val="bottom"/>
          </w:tcPr>
          <w:p w:rsidR="00482BF2" w:rsidRPr="008458BB" w:rsidRDefault="00482BF2" w:rsidP="008458BB">
            <w:pPr>
              <w:pStyle w:val="ListParagraph"/>
              <w:tabs>
                <w:tab w:val="left" w:pos="252"/>
                <w:tab w:val="left" w:pos="1782"/>
              </w:tabs>
              <w:ind w:left="0"/>
              <w:jc w:val="center"/>
              <w:rPr>
                <w:rFonts w:ascii="Arial" w:hAnsi="Arial" w:cs="Arial"/>
                <w:b/>
                <w:sz w:val="21"/>
                <w:szCs w:val="21"/>
              </w:rPr>
            </w:pPr>
            <w:r w:rsidRPr="008458BB">
              <w:rPr>
                <w:rFonts w:ascii="Arial" w:hAnsi="Arial" w:cs="Arial"/>
                <w:b/>
                <w:sz w:val="21"/>
                <w:szCs w:val="21"/>
              </w:rPr>
              <w:t>No</w:t>
            </w:r>
          </w:p>
        </w:tc>
        <w:tc>
          <w:tcPr>
            <w:tcW w:w="1800" w:type="dxa"/>
            <w:vAlign w:val="bottom"/>
          </w:tcPr>
          <w:p w:rsidR="00482BF2" w:rsidRPr="008458BB" w:rsidRDefault="00482BF2" w:rsidP="008458BB">
            <w:pPr>
              <w:pStyle w:val="ListParagraph"/>
              <w:tabs>
                <w:tab w:val="left" w:pos="252"/>
              </w:tabs>
              <w:ind w:left="0"/>
              <w:jc w:val="center"/>
              <w:rPr>
                <w:rFonts w:ascii="Arial" w:hAnsi="Arial" w:cs="Arial"/>
                <w:b/>
                <w:sz w:val="21"/>
                <w:szCs w:val="21"/>
              </w:rPr>
            </w:pPr>
            <w:r w:rsidRPr="008458BB">
              <w:rPr>
                <w:rFonts w:ascii="Arial" w:hAnsi="Arial" w:cs="Arial"/>
                <w:b/>
                <w:sz w:val="21"/>
                <w:szCs w:val="21"/>
              </w:rPr>
              <w:t>Yes</w:t>
            </w:r>
          </w:p>
        </w:tc>
      </w:tr>
      <w:tr w:rsidR="00693512" w:rsidRPr="008458BB" w:rsidTr="00074F0B">
        <w:tc>
          <w:tcPr>
            <w:tcW w:w="6408" w:type="dxa"/>
          </w:tcPr>
          <w:p w:rsidR="00693512" w:rsidRPr="008458BB" w:rsidRDefault="00693512" w:rsidP="00391EB4">
            <w:pPr>
              <w:contextualSpacing/>
              <w:jc w:val="both"/>
              <w:rPr>
                <w:rFonts w:ascii="Arial" w:hAnsi="Arial" w:cs="Arial"/>
                <w:sz w:val="21"/>
                <w:szCs w:val="21"/>
              </w:rPr>
            </w:pPr>
          </w:p>
          <w:p w:rsidR="00693512" w:rsidRPr="008458BB" w:rsidRDefault="00693512" w:rsidP="007646A8">
            <w:pPr>
              <w:contextualSpacing/>
              <w:jc w:val="both"/>
              <w:rPr>
                <w:rFonts w:ascii="Arial" w:hAnsi="Arial" w:cs="Arial"/>
                <w:sz w:val="21"/>
                <w:szCs w:val="21"/>
              </w:rPr>
            </w:pPr>
            <w:r w:rsidRPr="008458BB">
              <w:rPr>
                <w:rFonts w:ascii="Arial" w:hAnsi="Arial" w:cs="Arial"/>
                <w:sz w:val="21"/>
                <w:szCs w:val="21"/>
              </w:rPr>
              <w:t xml:space="preserve">Is the property on, near or close to </w:t>
            </w:r>
            <w:r w:rsidR="00CE68A8">
              <w:rPr>
                <w:rFonts w:ascii="Arial" w:hAnsi="Arial" w:cs="Arial"/>
                <w:sz w:val="21"/>
                <w:szCs w:val="21"/>
              </w:rPr>
              <w:t xml:space="preserve">University owned </w:t>
            </w:r>
            <w:r w:rsidR="00166495">
              <w:rPr>
                <w:rFonts w:ascii="Arial" w:hAnsi="Arial" w:cs="Arial"/>
                <w:sz w:val="21"/>
                <w:szCs w:val="21"/>
              </w:rPr>
              <w:t xml:space="preserve">or occupied </w:t>
            </w:r>
            <w:bookmarkStart w:id="0" w:name="_GoBack"/>
            <w:bookmarkEnd w:id="0"/>
            <w:r w:rsidR="00CE68A8">
              <w:rPr>
                <w:rFonts w:ascii="Arial" w:hAnsi="Arial" w:cs="Arial"/>
                <w:sz w:val="21"/>
                <w:szCs w:val="21"/>
              </w:rPr>
              <w:t>property (i.e.</w:t>
            </w:r>
            <w:r w:rsidRPr="008458BB">
              <w:rPr>
                <w:rFonts w:ascii="Arial" w:hAnsi="Arial" w:cs="Arial"/>
                <w:sz w:val="21"/>
                <w:szCs w:val="21"/>
              </w:rPr>
              <w:t xml:space="preserve"> campus</w:t>
            </w:r>
            <w:r w:rsidR="00CE68A8">
              <w:rPr>
                <w:rFonts w:ascii="Arial" w:hAnsi="Arial" w:cs="Arial"/>
                <w:sz w:val="21"/>
                <w:szCs w:val="21"/>
              </w:rPr>
              <w:t>,</w:t>
            </w:r>
            <w:r w:rsidRPr="008458BB">
              <w:rPr>
                <w:rFonts w:ascii="Arial" w:hAnsi="Arial" w:cs="Arial"/>
                <w:sz w:val="21"/>
                <w:szCs w:val="21"/>
              </w:rPr>
              <w:t xml:space="preserve"> medical center</w:t>
            </w:r>
            <w:r w:rsidR="00CE68A8">
              <w:rPr>
                <w:rFonts w:ascii="Arial" w:hAnsi="Arial" w:cs="Arial"/>
                <w:sz w:val="21"/>
                <w:szCs w:val="21"/>
              </w:rPr>
              <w:t>, Office of the President)</w:t>
            </w:r>
            <w:r w:rsidR="007554ED">
              <w:rPr>
                <w:rFonts w:ascii="Arial" w:hAnsi="Arial" w:cs="Arial"/>
                <w:sz w:val="21"/>
                <w:szCs w:val="21"/>
              </w:rPr>
              <w:t xml:space="preserve">? </w:t>
            </w:r>
          </w:p>
        </w:tc>
        <w:tc>
          <w:tcPr>
            <w:tcW w:w="1890" w:type="dxa"/>
          </w:tcPr>
          <w:p w:rsidR="00693512" w:rsidRPr="008458BB" w:rsidRDefault="00166495" w:rsidP="00693512">
            <w:pPr>
              <w:pStyle w:val="ListParagraph"/>
              <w:tabs>
                <w:tab w:val="left" w:pos="252"/>
                <w:tab w:val="left" w:pos="1782"/>
              </w:tabs>
              <w:ind w:left="0"/>
              <w:rPr>
                <w:rFonts w:ascii="Arial" w:hAnsi="Arial" w:cs="Arial"/>
                <w:sz w:val="21"/>
                <w:szCs w:val="21"/>
              </w:rPr>
            </w:pPr>
            <w:sdt>
              <w:sdtPr>
                <w:rPr>
                  <w:rFonts w:ascii="Arial" w:hAnsi="Arial" w:cs="Arial"/>
                  <w:sz w:val="21"/>
                  <w:szCs w:val="21"/>
                </w:rPr>
                <w:id w:val="-765157887"/>
                <w14:checkbox>
                  <w14:checked w14:val="0"/>
                  <w14:checkedState w14:val="2612" w14:font="MS Gothic"/>
                  <w14:uncheckedState w14:val="2610" w14:font="MS Gothic"/>
                </w14:checkbox>
              </w:sdtPr>
              <w:sdtEndPr/>
              <w:sdtContent>
                <w:r w:rsidR="00693512" w:rsidRPr="008458BB">
                  <w:rPr>
                    <w:rFonts w:ascii="MS Gothic" w:eastAsia="MS Gothic" w:hAnsi="MS Gothic" w:cs="MS Gothic" w:hint="eastAsia"/>
                    <w:sz w:val="21"/>
                    <w:szCs w:val="21"/>
                  </w:rPr>
                  <w:t>☐</w:t>
                </w:r>
              </w:sdtContent>
            </w:sdt>
            <w:r w:rsidR="00693512" w:rsidRPr="008458BB">
              <w:rPr>
                <w:rFonts w:ascii="Arial" w:hAnsi="Arial" w:cs="Arial"/>
                <w:sz w:val="21"/>
                <w:szCs w:val="21"/>
              </w:rPr>
              <w:t xml:space="preserve"> Property is </w:t>
            </w:r>
            <w:r w:rsidR="00693512" w:rsidRPr="008458BB">
              <w:rPr>
                <w:rFonts w:ascii="Arial" w:hAnsi="Arial" w:cs="Arial"/>
                <w:b/>
                <w:sz w:val="21"/>
                <w:szCs w:val="21"/>
              </w:rPr>
              <w:t>NOT</w:t>
            </w:r>
            <w:r w:rsidR="007554ED">
              <w:rPr>
                <w:rFonts w:ascii="Arial" w:hAnsi="Arial" w:cs="Arial"/>
                <w:sz w:val="21"/>
                <w:szCs w:val="21"/>
              </w:rPr>
              <w:t xml:space="preserve"> close to a University owned or occupied property </w:t>
            </w:r>
          </w:p>
          <w:p w:rsidR="00693512" w:rsidRPr="008458BB" w:rsidRDefault="00693512" w:rsidP="00116BE2">
            <w:pPr>
              <w:pStyle w:val="ListParagraph"/>
              <w:tabs>
                <w:tab w:val="left" w:pos="252"/>
              </w:tabs>
              <w:ind w:left="0"/>
              <w:rPr>
                <w:rFonts w:ascii="Arial" w:hAnsi="Arial" w:cs="Arial"/>
                <w:sz w:val="21"/>
                <w:szCs w:val="21"/>
              </w:rPr>
            </w:pPr>
          </w:p>
        </w:tc>
        <w:tc>
          <w:tcPr>
            <w:tcW w:w="1800" w:type="dxa"/>
          </w:tcPr>
          <w:p w:rsidR="00693512" w:rsidRPr="008458BB" w:rsidRDefault="00166495" w:rsidP="007554ED">
            <w:pPr>
              <w:pStyle w:val="ListParagraph"/>
              <w:tabs>
                <w:tab w:val="left" w:pos="252"/>
                <w:tab w:val="left" w:pos="1782"/>
              </w:tabs>
              <w:ind w:left="0"/>
              <w:rPr>
                <w:rFonts w:ascii="Arial" w:hAnsi="Arial" w:cs="Arial"/>
                <w:sz w:val="21"/>
                <w:szCs w:val="21"/>
              </w:rPr>
            </w:pPr>
            <w:sdt>
              <w:sdtPr>
                <w:rPr>
                  <w:rFonts w:ascii="Arial" w:hAnsi="Arial" w:cs="Arial"/>
                  <w:sz w:val="21"/>
                  <w:szCs w:val="21"/>
                </w:rPr>
                <w:id w:val="-86317339"/>
                <w14:checkbox>
                  <w14:checked w14:val="0"/>
                  <w14:checkedState w14:val="2612" w14:font="MS Gothic"/>
                  <w14:uncheckedState w14:val="2610" w14:font="MS Gothic"/>
                </w14:checkbox>
              </w:sdtPr>
              <w:sdtEndPr/>
              <w:sdtContent>
                <w:r w:rsidR="00693512" w:rsidRPr="008458BB">
                  <w:rPr>
                    <w:rFonts w:ascii="MS Gothic" w:eastAsia="MS Gothic" w:hAnsi="MS Gothic" w:cs="MS Gothic" w:hint="eastAsia"/>
                    <w:sz w:val="21"/>
                    <w:szCs w:val="21"/>
                  </w:rPr>
                  <w:t>☐</w:t>
                </w:r>
              </w:sdtContent>
            </w:sdt>
            <w:r w:rsidR="00693512" w:rsidRPr="008458BB">
              <w:rPr>
                <w:rFonts w:ascii="Arial" w:hAnsi="Arial" w:cs="Arial"/>
                <w:sz w:val="21"/>
                <w:szCs w:val="21"/>
              </w:rPr>
              <w:t xml:space="preserve"> Property is close to a </w:t>
            </w:r>
            <w:r w:rsidR="007554ED">
              <w:rPr>
                <w:rFonts w:ascii="Arial" w:hAnsi="Arial" w:cs="Arial"/>
                <w:sz w:val="21"/>
                <w:szCs w:val="21"/>
              </w:rPr>
              <w:t xml:space="preserve">University owned or occupied property </w:t>
            </w:r>
          </w:p>
        </w:tc>
      </w:tr>
      <w:tr w:rsidR="007646A8" w:rsidRPr="008458BB" w:rsidTr="00074F0B">
        <w:tc>
          <w:tcPr>
            <w:tcW w:w="6408" w:type="dxa"/>
          </w:tcPr>
          <w:p w:rsidR="007646A8" w:rsidRPr="008458BB" w:rsidRDefault="007646A8" w:rsidP="00693512">
            <w:pPr>
              <w:rPr>
                <w:rFonts w:ascii="Arial" w:hAnsi="Arial" w:cs="Arial"/>
                <w:sz w:val="21"/>
                <w:szCs w:val="21"/>
              </w:rPr>
            </w:pPr>
            <w:r>
              <w:rPr>
                <w:rFonts w:ascii="Arial" w:hAnsi="Arial" w:cs="Arial"/>
                <w:sz w:val="21"/>
                <w:szCs w:val="21"/>
              </w:rPr>
              <w:t>Is there any portion of the property currently used by the University?</w:t>
            </w:r>
          </w:p>
        </w:tc>
        <w:tc>
          <w:tcPr>
            <w:tcW w:w="1890" w:type="dxa"/>
          </w:tcPr>
          <w:p w:rsidR="007646A8" w:rsidRDefault="00166495" w:rsidP="00D501C2">
            <w:pPr>
              <w:pStyle w:val="ListParagraph"/>
              <w:tabs>
                <w:tab w:val="left" w:pos="252"/>
                <w:tab w:val="left" w:pos="1782"/>
              </w:tabs>
              <w:ind w:left="0"/>
              <w:rPr>
                <w:rFonts w:ascii="Arial" w:hAnsi="Arial" w:cs="Arial"/>
                <w:sz w:val="21"/>
                <w:szCs w:val="21"/>
              </w:rPr>
            </w:pPr>
            <w:sdt>
              <w:sdtPr>
                <w:rPr>
                  <w:rFonts w:ascii="Arial" w:hAnsi="Arial" w:cs="Arial"/>
                  <w:sz w:val="21"/>
                  <w:szCs w:val="21"/>
                </w:rPr>
                <w:id w:val="-2047277621"/>
                <w14:checkbox>
                  <w14:checked w14:val="0"/>
                  <w14:checkedState w14:val="2612" w14:font="MS Gothic"/>
                  <w14:uncheckedState w14:val="2610" w14:font="MS Gothic"/>
                </w14:checkbox>
              </w:sdtPr>
              <w:sdtEndPr/>
              <w:sdtContent>
                <w:r w:rsidR="007646A8" w:rsidRPr="008458BB">
                  <w:rPr>
                    <w:rFonts w:ascii="MS Gothic" w:eastAsia="MS Gothic" w:hAnsi="MS Gothic" w:cs="MS Gothic" w:hint="eastAsia"/>
                    <w:sz w:val="21"/>
                    <w:szCs w:val="21"/>
                  </w:rPr>
                  <w:t>☐</w:t>
                </w:r>
              </w:sdtContent>
            </w:sdt>
            <w:r w:rsidR="007646A8" w:rsidRPr="008458BB">
              <w:rPr>
                <w:rFonts w:ascii="Arial" w:hAnsi="Arial" w:cs="Arial"/>
                <w:sz w:val="21"/>
                <w:szCs w:val="21"/>
              </w:rPr>
              <w:t xml:space="preserve"> Property is </w:t>
            </w:r>
            <w:r w:rsidR="007646A8" w:rsidRPr="008458BB">
              <w:rPr>
                <w:rFonts w:ascii="Arial" w:hAnsi="Arial" w:cs="Arial"/>
                <w:b/>
                <w:sz w:val="21"/>
                <w:szCs w:val="21"/>
              </w:rPr>
              <w:t>NOT</w:t>
            </w:r>
            <w:r w:rsidR="007646A8">
              <w:rPr>
                <w:rFonts w:ascii="Arial" w:hAnsi="Arial" w:cs="Arial"/>
                <w:sz w:val="21"/>
                <w:szCs w:val="21"/>
              </w:rPr>
              <w:t xml:space="preserve"> currently used by the University</w:t>
            </w:r>
          </w:p>
        </w:tc>
        <w:tc>
          <w:tcPr>
            <w:tcW w:w="1800" w:type="dxa"/>
          </w:tcPr>
          <w:p w:rsidR="007646A8" w:rsidRDefault="00166495" w:rsidP="007646A8">
            <w:pPr>
              <w:rPr>
                <w:rFonts w:ascii="Arial" w:hAnsi="Arial" w:cs="Arial"/>
                <w:sz w:val="21"/>
                <w:szCs w:val="21"/>
              </w:rPr>
            </w:pPr>
            <w:sdt>
              <w:sdtPr>
                <w:rPr>
                  <w:rFonts w:ascii="Arial" w:hAnsi="Arial" w:cs="Arial"/>
                  <w:sz w:val="21"/>
                  <w:szCs w:val="21"/>
                </w:rPr>
                <w:id w:val="-1843928647"/>
                <w14:checkbox>
                  <w14:checked w14:val="0"/>
                  <w14:checkedState w14:val="2612" w14:font="MS Gothic"/>
                  <w14:uncheckedState w14:val="2610" w14:font="MS Gothic"/>
                </w14:checkbox>
              </w:sdtPr>
              <w:sdtEndPr/>
              <w:sdtContent>
                <w:r w:rsidR="007646A8" w:rsidRPr="008458BB">
                  <w:rPr>
                    <w:rFonts w:ascii="MS Gothic" w:eastAsia="MS Gothic" w:hAnsi="MS Gothic" w:cs="MS Gothic" w:hint="eastAsia"/>
                    <w:sz w:val="21"/>
                    <w:szCs w:val="21"/>
                  </w:rPr>
                  <w:t>☐</w:t>
                </w:r>
              </w:sdtContent>
            </w:sdt>
            <w:r w:rsidR="007646A8" w:rsidRPr="008458BB">
              <w:rPr>
                <w:rFonts w:ascii="Arial" w:hAnsi="Arial" w:cs="Arial"/>
                <w:sz w:val="21"/>
                <w:szCs w:val="21"/>
              </w:rPr>
              <w:t xml:space="preserve"> Property is </w:t>
            </w:r>
            <w:r w:rsidR="007646A8">
              <w:rPr>
                <w:rFonts w:ascii="Arial" w:hAnsi="Arial" w:cs="Arial"/>
                <w:sz w:val="21"/>
                <w:szCs w:val="21"/>
              </w:rPr>
              <w:t>currently used by the University</w:t>
            </w:r>
          </w:p>
        </w:tc>
      </w:tr>
      <w:tr w:rsidR="00693512" w:rsidRPr="008458BB" w:rsidTr="00074F0B">
        <w:tc>
          <w:tcPr>
            <w:tcW w:w="6408" w:type="dxa"/>
          </w:tcPr>
          <w:p w:rsidR="00693512" w:rsidRPr="008458BB" w:rsidRDefault="00693512" w:rsidP="00693512">
            <w:pPr>
              <w:rPr>
                <w:rFonts w:ascii="Arial" w:hAnsi="Arial" w:cs="Arial"/>
                <w:sz w:val="21"/>
                <w:szCs w:val="21"/>
              </w:rPr>
            </w:pPr>
          </w:p>
          <w:p w:rsidR="00693512" w:rsidRPr="008458BB" w:rsidRDefault="00693512" w:rsidP="00693512">
            <w:pPr>
              <w:rPr>
                <w:rFonts w:ascii="Arial" w:hAnsi="Arial" w:cs="Arial"/>
                <w:sz w:val="21"/>
                <w:szCs w:val="21"/>
              </w:rPr>
            </w:pPr>
            <w:r w:rsidRPr="008458BB">
              <w:rPr>
                <w:rFonts w:ascii="Arial" w:hAnsi="Arial" w:cs="Arial"/>
                <w:sz w:val="21"/>
                <w:szCs w:val="21"/>
              </w:rPr>
              <w:t>Is the property connected to the University’s mission of teaching, research, clinical care or public service?  (i.e., apartments for student housing, facilities with classroom space or physician office buildings)</w:t>
            </w:r>
          </w:p>
          <w:p w:rsidR="00693512" w:rsidRPr="008458BB" w:rsidRDefault="00693512" w:rsidP="00693512">
            <w:pPr>
              <w:rPr>
                <w:rFonts w:ascii="Arial" w:hAnsi="Arial" w:cs="Arial"/>
                <w:sz w:val="21"/>
                <w:szCs w:val="21"/>
              </w:rPr>
            </w:pPr>
          </w:p>
        </w:tc>
        <w:tc>
          <w:tcPr>
            <w:tcW w:w="1890" w:type="dxa"/>
          </w:tcPr>
          <w:p w:rsidR="00693512" w:rsidRPr="008458BB" w:rsidRDefault="00166495" w:rsidP="00693512">
            <w:pPr>
              <w:rPr>
                <w:rFonts w:ascii="Arial" w:hAnsi="Arial" w:cs="Arial"/>
                <w:sz w:val="21"/>
                <w:szCs w:val="21"/>
              </w:rPr>
            </w:pPr>
            <w:sdt>
              <w:sdtPr>
                <w:rPr>
                  <w:rFonts w:ascii="Arial" w:hAnsi="Arial" w:cs="Arial"/>
                  <w:sz w:val="21"/>
                  <w:szCs w:val="21"/>
                </w:rPr>
                <w:id w:val="1852753347"/>
                <w14:checkbox>
                  <w14:checked w14:val="0"/>
                  <w14:checkedState w14:val="2612" w14:font="MS Gothic"/>
                  <w14:uncheckedState w14:val="2610" w14:font="MS Gothic"/>
                </w14:checkbox>
              </w:sdtPr>
              <w:sdtEndPr/>
              <w:sdtContent>
                <w:r w:rsidR="00693512" w:rsidRPr="008458BB">
                  <w:rPr>
                    <w:rFonts w:ascii="MS Gothic" w:eastAsia="MS Gothic" w:hAnsi="MS Gothic" w:cs="MS Gothic" w:hint="eastAsia"/>
                    <w:sz w:val="21"/>
                    <w:szCs w:val="21"/>
                  </w:rPr>
                  <w:t>☐</w:t>
                </w:r>
              </w:sdtContent>
            </w:sdt>
            <w:r w:rsidR="00693512" w:rsidRPr="008458BB">
              <w:rPr>
                <w:rFonts w:ascii="Arial" w:hAnsi="Arial" w:cs="Arial"/>
                <w:sz w:val="21"/>
                <w:szCs w:val="21"/>
              </w:rPr>
              <w:t xml:space="preserve"> Property is </w:t>
            </w:r>
            <w:r w:rsidR="00693512" w:rsidRPr="008458BB">
              <w:rPr>
                <w:rFonts w:ascii="Arial" w:hAnsi="Arial" w:cs="Arial"/>
                <w:b/>
                <w:sz w:val="21"/>
                <w:szCs w:val="21"/>
              </w:rPr>
              <w:t>NOT</w:t>
            </w:r>
            <w:r w:rsidR="00693512" w:rsidRPr="008458BB">
              <w:rPr>
                <w:rFonts w:ascii="Arial" w:hAnsi="Arial" w:cs="Arial"/>
                <w:sz w:val="21"/>
                <w:szCs w:val="21"/>
              </w:rPr>
              <w:t xml:space="preserve"> connected to the University’s mission</w:t>
            </w:r>
          </w:p>
          <w:p w:rsidR="00693512" w:rsidRPr="008458BB" w:rsidRDefault="00693512" w:rsidP="00693512">
            <w:pPr>
              <w:rPr>
                <w:rFonts w:ascii="Arial" w:hAnsi="Arial" w:cs="Arial"/>
                <w:sz w:val="21"/>
                <w:szCs w:val="21"/>
              </w:rPr>
            </w:pPr>
          </w:p>
        </w:tc>
        <w:tc>
          <w:tcPr>
            <w:tcW w:w="1800" w:type="dxa"/>
          </w:tcPr>
          <w:p w:rsidR="00693512" w:rsidRPr="008458BB" w:rsidRDefault="00166495" w:rsidP="00693512">
            <w:pPr>
              <w:rPr>
                <w:rFonts w:ascii="Arial" w:hAnsi="Arial" w:cs="Arial"/>
                <w:sz w:val="21"/>
                <w:szCs w:val="21"/>
              </w:rPr>
            </w:pPr>
            <w:sdt>
              <w:sdtPr>
                <w:rPr>
                  <w:rFonts w:ascii="Arial" w:hAnsi="Arial" w:cs="Arial"/>
                  <w:sz w:val="21"/>
                  <w:szCs w:val="21"/>
                </w:rPr>
                <w:id w:val="-1906982426"/>
                <w14:checkbox>
                  <w14:checked w14:val="0"/>
                  <w14:checkedState w14:val="2612" w14:font="MS Gothic"/>
                  <w14:uncheckedState w14:val="2610" w14:font="MS Gothic"/>
                </w14:checkbox>
              </w:sdtPr>
              <w:sdtEndPr/>
              <w:sdtContent>
                <w:r w:rsidR="00693512" w:rsidRPr="008458BB">
                  <w:rPr>
                    <w:rFonts w:ascii="MS Gothic" w:eastAsia="MS Gothic" w:hAnsi="MS Gothic" w:cs="MS Gothic" w:hint="eastAsia"/>
                    <w:sz w:val="21"/>
                    <w:szCs w:val="21"/>
                  </w:rPr>
                  <w:t>☐</w:t>
                </w:r>
              </w:sdtContent>
            </w:sdt>
            <w:r w:rsidR="00693512" w:rsidRPr="008458BB">
              <w:rPr>
                <w:rFonts w:ascii="Arial" w:hAnsi="Arial" w:cs="Arial"/>
                <w:sz w:val="21"/>
                <w:szCs w:val="21"/>
              </w:rPr>
              <w:t xml:space="preserve"> Property is  connected to the University’s mission</w:t>
            </w:r>
          </w:p>
        </w:tc>
      </w:tr>
    </w:tbl>
    <w:p w:rsidR="00B72CA4" w:rsidRPr="008458BB" w:rsidRDefault="00B72CA4" w:rsidP="000B0778">
      <w:pPr>
        <w:contextualSpacing/>
        <w:jc w:val="both"/>
        <w:rPr>
          <w:rFonts w:ascii="Arial" w:hAnsi="Arial" w:cs="Arial"/>
          <w:sz w:val="20"/>
        </w:rPr>
      </w:pPr>
    </w:p>
    <w:p w:rsidR="00B72CA4" w:rsidRPr="008458BB" w:rsidRDefault="00693512" w:rsidP="000B0778">
      <w:pPr>
        <w:contextualSpacing/>
        <w:jc w:val="both"/>
        <w:rPr>
          <w:rFonts w:ascii="Arial" w:hAnsi="Arial" w:cs="Arial"/>
          <w:sz w:val="20"/>
        </w:rPr>
      </w:pPr>
      <w:r w:rsidRPr="008458BB">
        <w:rPr>
          <w:rFonts w:ascii="Arial" w:hAnsi="Arial" w:cs="Arial"/>
          <w:sz w:val="20"/>
        </w:rPr>
        <w:t xml:space="preserve">If the answer is </w:t>
      </w:r>
      <w:r w:rsidRPr="008458BB">
        <w:rPr>
          <w:rFonts w:ascii="Arial" w:hAnsi="Arial" w:cs="Arial"/>
          <w:b/>
          <w:sz w:val="20"/>
        </w:rPr>
        <w:t>“yes”</w:t>
      </w:r>
      <w:r w:rsidRPr="008458BB">
        <w:rPr>
          <w:rFonts w:ascii="Arial" w:hAnsi="Arial" w:cs="Arial"/>
          <w:sz w:val="20"/>
        </w:rPr>
        <w:t xml:space="preserve"> to </w:t>
      </w:r>
      <w:r w:rsidR="003C3A7D">
        <w:rPr>
          <w:rFonts w:ascii="Arial" w:hAnsi="Arial" w:cs="Arial"/>
          <w:b/>
          <w:sz w:val="20"/>
        </w:rPr>
        <w:t xml:space="preserve">any </w:t>
      </w:r>
      <w:r w:rsidR="003C3A7D">
        <w:rPr>
          <w:rFonts w:ascii="Arial" w:hAnsi="Arial" w:cs="Arial"/>
          <w:sz w:val="20"/>
        </w:rPr>
        <w:t xml:space="preserve">of the </w:t>
      </w:r>
      <w:r w:rsidR="004B2EEB" w:rsidRPr="008458BB">
        <w:rPr>
          <w:rFonts w:ascii="Arial" w:hAnsi="Arial" w:cs="Arial"/>
          <w:sz w:val="20"/>
        </w:rPr>
        <w:t>question</w:t>
      </w:r>
      <w:r w:rsidR="003C3A7D">
        <w:rPr>
          <w:rFonts w:ascii="Arial" w:hAnsi="Arial" w:cs="Arial"/>
          <w:sz w:val="20"/>
        </w:rPr>
        <w:t>s</w:t>
      </w:r>
      <w:r w:rsidR="004B2EEB" w:rsidRPr="008458BB">
        <w:rPr>
          <w:rFonts w:ascii="Arial" w:hAnsi="Arial" w:cs="Arial"/>
          <w:sz w:val="20"/>
        </w:rPr>
        <w:t xml:space="preserve"> above,</w:t>
      </w:r>
      <w:r w:rsidRPr="008458BB">
        <w:rPr>
          <w:rFonts w:ascii="Arial" w:hAnsi="Arial" w:cs="Arial"/>
          <w:sz w:val="20"/>
        </w:rPr>
        <w:t xml:space="preserve"> proceed to </w:t>
      </w:r>
      <w:r w:rsidRPr="008458BB">
        <w:rPr>
          <w:rFonts w:ascii="Arial" w:hAnsi="Arial" w:cs="Arial"/>
          <w:b/>
          <w:sz w:val="20"/>
        </w:rPr>
        <w:t>Step 2, below</w:t>
      </w:r>
      <w:r w:rsidRPr="008458BB">
        <w:rPr>
          <w:rFonts w:ascii="Arial" w:hAnsi="Arial" w:cs="Arial"/>
          <w:sz w:val="20"/>
        </w:rPr>
        <w:t xml:space="preserve">. </w:t>
      </w:r>
    </w:p>
    <w:p w:rsidR="00693512" w:rsidRPr="008458BB" w:rsidRDefault="00693512" w:rsidP="000B0778">
      <w:pPr>
        <w:contextualSpacing/>
        <w:jc w:val="both"/>
        <w:rPr>
          <w:rFonts w:ascii="Arial" w:hAnsi="Arial" w:cs="Arial"/>
          <w:sz w:val="20"/>
        </w:rPr>
      </w:pPr>
      <w:r w:rsidRPr="008458BB">
        <w:rPr>
          <w:rFonts w:ascii="Arial" w:hAnsi="Arial" w:cs="Arial"/>
          <w:sz w:val="20"/>
        </w:rPr>
        <w:t xml:space="preserve">If the answer is </w:t>
      </w:r>
      <w:r w:rsidRPr="008458BB">
        <w:rPr>
          <w:rFonts w:ascii="Arial" w:hAnsi="Arial" w:cs="Arial"/>
          <w:b/>
          <w:sz w:val="20"/>
        </w:rPr>
        <w:t>“no”</w:t>
      </w:r>
      <w:r w:rsidRPr="008458BB">
        <w:rPr>
          <w:rFonts w:ascii="Arial" w:hAnsi="Arial" w:cs="Arial"/>
          <w:sz w:val="20"/>
        </w:rPr>
        <w:t xml:space="preserve"> to </w:t>
      </w:r>
      <w:r w:rsidR="003C3A7D">
        <w:rPr>
          <w:rFonts w:ascii="Arial" w:hAnsi="Arial" w:cs="Arial"/>
          <w:b/>
          <w:sz w:val="20"/>
        </w:rPr>
        <w:t xml:space="preserve">all </w:t>
      </w:r>
      <w:r w:rsidR="003C3A7D">
        <w:rPr>
          <w:rFonts w:ascii="Arial" w:hAnsi="Arial" w:cs="Arial"/>
          <w:sz w:val="20"/>
        </w:rPr>
        <w:t>of the</w:t>
      </w:r>
      <w:r w:rsidR="004B2EEB" w:rsidRPr="008458BB">
        <w:rPr>
          <w:rFonts w:ascii="Arial" w:hAnsi="Arial" w:cs="Arial"/>
          <w:sz w:val="20"/>
        </w:rPr>
        <w:t xml:space="preserve"> questions above, property is indicated as</w:t>
      </w:r>
      <w:r w:rsidRPr="008458BB">
        <w:rPr>
          <w:rFonts w:ascii="Arial" w:hAnsi="Arial" w:cs="Arial"/>
          <w:sz w:val="20"/>
        </w:rPr>
        <w:t xml:space="preserve"> an </w:t>
      </w:r>
      <w:r w:rsidRPr="008458BB">
        <w:rPr>
          <w:rFonts w:ascii="Arial" w:hAnsi="Arial" w:cs="Arial"/>
          <w:b/>
          <w:sz w:val="20"/>
        </w:rPr>
        <w:t>investment</w:t>
      </w:r>
      <w:r w:rsidRPr="008458BB">
        <w:rPr>
          <w:rFonts w:ascii="Arial" w:hAnsi="Arial" w:cs="Arial"/>
          <w:sz w:val="20"/>
        </w:rPr>
        <w:t>.</w:t>
      </w:r>
      <w:r w:rsidR="004B2EEB" w:rsidRPr="008458BB">
        <w:rPr>
          <w:rFonts w:ascii="Arial" w:hAnsi="Arial" w:cs="Arial"/>
          <w:sz w:val="20"/>
        </w:rPr>
        <w:t xml:space="preserve"> P</w:t>
      </w:r>
      <w:r w:rsidR="00074F0B" w:rsidRPr="008458BB">
        <w:rPr>
          <w:rFonts w:ascii="Arial" w:hAnsi="Arial" w:cs="Arial"/>
          <w:sz w:val="20"/>
        </w:rPr>
        <w:t xml:space="preserve">roceed to </w:t>
      </w:r>
      <w:r w:rsidR="00074F0B" w:rsidRPr="008458BB">
        <w:rPr>
          <w:rFonts w:ascii="Arial" w:hAnsi="Arial" w:cs="Arial"/>
          <w:b/>
          <w:sz w:val="20"/>
        </w:rPr>
        <w:t>Step 3, below.</w:t>
      </w:r>
      <w:r w:rsidRPr="008458BB">
        <w:rPr>
          <w:rFonts w:ascii="Arial" w:hAnsi="Arial" w:cs="Arial"/>
          <w:sz w:val="20"/>
        </w:rPr>
        <w:t xml:space="preserve"> </w:t>
      </w:r>
    </w:p>
    <w:p w:rsidR="00693512" w:rsidRPr="008458BB" w:rsidRDefault="00693512" w:rsidP="000B0778">
      <w:pPr>
        <w:contextualSpacing/>
        <w:jc w:val="both"/>
        <w:rPr>
          <w:rFonts w:ascii="Arial" w:hAnsi="Arial" w:cs="Arial"/>
          <w:sz w:val="20"/>
        </w:rPr>
      </w:pPr>
    </w:p>
    <w:p w:rsidR="00E42D3B" w:rsidRPr="008458BB" w:rsidRDefault="00E42D3B" w:rsidP="000B0778">
      <w:pPr>
        <w:contextualSpacing/>
        <w:jc w:val="both"/>
        <w:rPr>
          <w:rFonts w:ascii="Arial" w:hAnsi="Arial" w:cs="Arial"/>
          <w:sz w:val="20"/>
        </w:rPr>
      </w:pPr>
    </w:p>
    <w:p w:rsidR="009C4859" w:rsidRPr="008458BB" w:rsidRDefault="00693512" w:rsidP="00E064D2">
      <w:pPr>
        <w:contextualSpacing/>
        <w:jc w:val="both"/>
        <w:rPr>
          <w:rFonts w:ascii="Arial" w:hAnsi="Arial" w:cs="Arial"/>
        </w:rPr>
      </w:pPr>
      <w:r w:rsidRPr="008458BB">
        <w:rPr>
          <w:rFonts w:ascii="Arial" w:hAnsi="Arial" w:cs="Arial"/>
          <w:b/>
        </w:rPr>
        <w:t>Step 2:</w:t>
      </w:r>
      <w:r w:rsidR="009C67B5" w:rsidRPr="008458BB">
        <w:rPr>
          <w:rFonts w:ascii="Arial" w:hAnsi="Arial" w:cs="Arial"/>
          <w:b/>
        </w:rPr>
        <w:t xml:space="preserve"> </w:t>
      </w:r>
      <w:r w:rsidR="00482BF2" w:rsidRPr="008458BB">
        <w:rPr>
          <w:rFonts w:ascii="Arial" w:hAnsi="Arial" w:cs="Arial"/>
          <w:b/>
        </w:rPr>
        <w:t>Complete the questions below</w:t>
      </w:r>
      <w:r w:rsidR="001D7F77" w:rsidRPr="008458BB">
        <w:rPr>
          <w:rFonts w:ascii="Arial" w:hAnsi="Arial" w:cs="Arial"/>
          <w:b/>
        </w:rPr>
        <w:t xml:space="preserve">                   </w:t>
      </w:r>
      <w:r w:rsidR="00ED6204" w:rsidRPr="008458BB">
        <w:rPr>
          <w:rFonts w:ascii="Arial" w:hAnsi="Arial" w:cs="Arial"/>
          <w:b/>
        </w:rPr>
        <w:t xml:space="preserve">                              </w:t>
      </w:r>
    </w:p>
    <w:tbl>
      <w:tblPr>
        <w:tblStyle w:val="TableGrid"/>
        <w:tblW w:w="11520" w:type="dxa"/>
        <w:tblInd w:w="-612" w:type="dxa"/>
        <w:tblLook w:val="04A0" w:firstRow="1" w:lastRow="0" w:firstColumn="1" w:lastColumn="0" w:noHBand="0" w:noVBand="1"/>
      </w:tblPr>
      <w:tblGrid>
        <w:gridCol w:w="3150"/>
        <w:gridCol w:w="2520"/>
        <w:gridCol w:w="2700"/>
        <w:gridCol w:w="3150"/>
      </w:tblGrid>
      <w:tr w:rsidR="006A0BC6" w:rsidRPr="008458BB" w:rsidTr="008458BB">
        <w:trPr>
          <w:cantSplit/>
          <w:tblHeader/>
        </w:trPr>
        <w:tc>
          <w:tcPr>
            <w:tcW w:w="3150" w:type="dxa"/>
          </w:tcPr>
          <w:p w:rsidR="006A0BC6" w:rsidRPr="008458BB" w:rsidRDefault="006A0BC6" w:rsidP="00CD7180">
            <w:pPr>
              <w:contextualSpacing/>
              <w:jc w:val="both"/>
              <w:rPr>
                <w:rFonts w:ascii="Arial" w:hAnsi="Arial" w:cs="Arial"/>
                <w:sz w:val="21"/>
                <w:szCs w:val="21"/>
              </w:rPr>
            </w:pPr>
          </w:p>
        </w:tc>
        <w:tc>
          <w:tcPr>
            <w:tcW w:w="2520" w:type="dxa"/>
            <w:vAlign w:val="bottom"/>
          </w:tcPr>
          <w:p w:rsidR="006A0BC6" w:rsidRPr="008458BB" w:rsidRDefault="006A0BC6" w:rsidP="008458BB">
            <w:pPr>
              <w:tabs>
                <w:tab w:val="left" w:pos="72"/>
              </w:tabs>
              <w:jc w:val="center"/>
              <w:rPr>
                <w:rFonts w:ascii="Arial" w:hAnsi="Arial" w:cs="Arial"/>
                <w:b/>
                <w:sz w:val="21"/>
                <w:szCs w:val="21"/>
              </w:rPr>
            </w:pPr>
            <w:r w:rsidRPr="008458BB">
              <w:rPr>
                <w:rFonts w:ascii="Arial" w:hAnsi="Arial" w:cs="Arial"/>
                <w:b/>
                <w:sz w:val="21"/>
                <w:szCs w:val="21"/>
              </w:rPr>
              <w:t>Investment Indicators</w:t>
            </w:r>
          </w:p>
        </w:tc>
        <w:tc>
          <w:tcPr>
            <w:tcW w:w="2700" w:type="dxa"/>
            <w:vAlign w:val="bottom"/>
          </w:tcPr>
          <w:p w:rsidR="006A0BC6" w:rsidRPr="008458BB" w:rsidRDefault="006A0BC6" w:rsidP="008458BB">
            <w:pPr>
              <w:jc w:val="center"/>
              <w:rPr>
                <w:rFonts w:ascii="Arial" w:hAnsi="Arial" w:cs="Arial"/>
                <w:b/>
                <w:sz w:val="21"/>
                <w:szCs w:val="21"/>
              </w:rPr>
            </w:pPr>
            <w:r w:rsidRPr="008458BB">
              <w:rPr>
                <w:rFonts w:ascii="Arial" w:hAnsi="Arial" w:cs="Arial"/>
                <w:b/>
                <w:sz w:val="21"/>
                <w:szCs w:val="21"/>
              </w:rPr>
              <w:t>Indicators that do not support either Capital Asset or Investment</w:t>
            </w:r>
          </w:p>
        </w:tc>
        <w:tc>
          <w:tcPr>
            <w:tcW w:w="3150" w:type="dxa"/>
            <w:vAlign w:val="bottom"/>
          </w:tcPr>
          <w:p w:rsidR="006A0BC6" w:rsidRPr="008458BB" w:rsidRDefault="006A0BC6" w:rsidP="008458BB">
            <w:pPr>
              <w:jc w:val="center"/>
              <w:rPr>
                <w:rFonts w:ascii="Arial" w:hAnsi="Arial" w:cs="Arial"/>
                <w:b/>
                <w:sz w:val="21"/>
                <w:szCs w:val="21"/>
              </w:rPr>
            </w:pPr>
            <w:r w:rsidRPr="008458BB">
              <w:rPr>
                <w:rFonts w:ascii="Arial" w:hAnsi="Arial" w:cs="Arial"/>
                <w:b/>
                <w:sz w:val="21"/>
                <w:szCs w:val="21"/>
              </w:rPr>
              <w:t>Capital Asset Indicators</w:t>
            </w:r>
          </w:p>
        </w:tc>
      </w:tr>
      <w:tr w:rsidR="00E120CB" w:rsidRPr="008458BB" w:rsidTr="008458BB">
        <w:trPr>
          <w:cantSplit/>
        </w:trPr>
        <w:tc>
          <w:tcPr>
            <w:tcW w:w="3150" w:type="dxa"/>
          </w:tcPr>
          <w:p w:rsidR="00E120CB" w:rsidRPr="008458BB" w:rsidRDefault="00E120CB" w:rsidP="00CD7180">
            <w:pPr>
              <w:contextualSpacing/>
              <w:jc w:val="both"/>
              <w:rPr>
                <w:rFonts w:ascii="Arial" w:hAnsi="Arial" w:cs="Arial"/>
                <w:sz w:val="21"/>
                <w:szCs w:val="21"/>
              </w:rPr>
            </w:pPr>
            <w:r w:rsidRPr="008458BB">
              <w:rPr>
                <w:rFonts w:ascii="Arial" w:hAnsi="Arial" w:cs="Arial"/>
                <w:sz w:val="21"/>
                <w:szCs w:val="21"/>
              </w:rPr>
              <w:t>Is the property being acquired for operations or for profit?</w:t>
            </w:r>
          </w:p>
          <w:p w:rsidR="00E120CB" w:rsidRPr="008458BB" w:rsidRDefault="00E120CB" w:rsidP="00E120CB">
            <w:pPr>
              <w:rPr>
                <w:rFonts w:ascii="Arial" w:hAnsi="Arial" w:cs="Arial"/>
                <w:sz w:val="21"/>
                <w:szCs w:val="21"/>
              </w:rPr>
            </w:pPr>
          </w:p>
        </w:tc>
        <w:tc>
          <w:tcPr>
            <w:tcW w:w="2520" w:type="dxa"/>
          </w:tcPr>
          <w:p w:rsidR="00E120CB" w:rsidRPr="008458BB" w:rsidRDefault="00166495" w:rsidP="00074F0B">
            <w:pPr>
              <w:tabs>
                <w:tab w:val="left" w:pos="72"/>
              </w:tabs>
              <w:rPr>
                <w:rFonts w:ascii="Arial" w:hAnsi="Arial" w:cs="Arial"/>
                <w:sz w:val="21"/>
                <w:szCs w:val="21"/>
              </w:rPr>
            </w:pPr>
            <w:sdt>
              <w:sdtPr>
                <w:rPr>
                  <w:rFonts w:ascii="Arial" w:hAnsi="Arial" w:cs="Arial"/>
                  <w:sz w:val="21"/>
                  <w:szCs w:val="21"/>
                </w:rPr>
                <w:id w:val="-931504832"/>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The property is being acquired only for income/profit</w:t>
            </w:r>
          </w:p>
        </w:tc>
        <w:tc>
          <w:tcPr>
            <w:tcW w:w="2700" w:type="dxa"/>
          </w:tcPr>
          <w:p w:rsidR="00E120CB" w:rsidRPr="008458BB" w:rsidRDefault="00166495" w:rsidP="00E120CB">
            <w:pPr>
              <w:rPr>
                <w:rFonts w:ascii="Arial" w:hAnsi="Arial" w:cs="Arial"/>
                <w:sz w:val="21"/>
                <w:szCs w:val="21"/>
              </w:rPr>
            </w:pPr>
            <w:sdt>
              <w:sdtPr>
                <w:rPr>
                  <w:rFonts w:ascii="Arial" w:hAnsi="Arial" w:cs="Arial"/>
                  <w:sz w:val="21"/>
                  <w:szCs w:val="21"/>
                </w:rPr>
                <w:id w:val="112415560"/>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While the property is being acquired for income; use by the University is planned</w:t>
            </w:r>
          </w:p>
        </w:tc>
        <w:tc>
          <w:tcPr>
            <w:tcW w:w="3150" w:type="dxa"/>
          </w:tcPr>
          <w:p w:rsidR="00E120CB" w:rsidRPr="008458BB" w:rsidRDefault="00166495" w:rsidP="001D7F77">
            <w:pPr>
              <w:rPr>
                <w:rFonts w:ascii="Arial" w:hAnsi="Arial" w:cs="Arial"/>
                <w:sz w:val="21"/>
                <w:szCs w:val="21"/>
              </w:rPr>
            </w:pPr>
            <w:sdt>
              <w:sdtPr>
                <w:rPr>
                  <w:rFonts w:ascii="Arial" w:hAnsi="Arial" w:cs="Arial"/>
                  <w:sz w:val="21"/>
                  <w:szCs w:val="21"/>
                </w:rPr>
                <w:id w:val="180716689"/>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The property is being acquired for use by the University</w:t>
            </w:r>
          </w:p>
        </w:tc>
      </w:tr>
      <w:tr w:rsidR="00E120CB" w:rsidRPr="008458BB" w:rsidTr="008458BB">
        <w:trPr>
          <w:cantSplit/>
        </w:trPr>
        <w:tc>
          <w:tcPr>
            <w:tcW w:w="3150" w:type="dxa"/>
          </w:tcPr>
          <w:p w:rsidR="00E120CB" w:rsidRPr="008458BB" w:rsidRDefault="00E120CB">
            <w:pPr>
              <w:rPr>
                <w:rFonts w:ascii="Arial" w:hAnsi="Arial" w:cs="Arial"/>
                <w:sz w:val="21"/>
                <w:szCs w:val="21"/>
              </w:rPr>
            </w:pPr>
            <w:r w:rsidRPr="008458BB">
              <w:rPr>
                <w:rFonts w:ascii="Arial" w:hAnsi="Arial" w:cs="Arial"/>
                <w:sz w:val="21"/>
                <w:szCs w:val="21"/>
              </w:rPr>
              <w:t xml:space="preserve">Is the property being considered </w:t>
            </w:r>
            <w:r w:rsidR="006A0BC6" w:rsidRPr="008458BB">
              <w:rPr>
                <w:rFonts w:ascii="Arial" w:hAnsi="Arial" w:cs="Arial"/>
                <w:sz w:val="21"/>
                <w:szCs w:val="21"/>
              </w:rPr>
              <w:t xml:space="preserve">for purchase </w:t>
            </w:r>
            <w:r w:rsidRPr="008458BB">
              <w:rPr>
                <w:rFonts w:ascii="Arial" w:hAnsi="Arial" w:cs="Arial"/>
                <w:sz w:val="21"/>
                <w:szCs w:val="21"/>
              </w:rPr>
              <w:t xml:space="preserve">because </w:t>
            </w:r>
            <w:proofErr w:type="gramStart"/>
            <w:r w:rsidR="00651D08" w:rsidRPr="008458BB">
              <w:rPr>
                <w:rFonts w:ascii="Arial" w:hAnsi="Arial" w:cs="Arial"/>
                <w:sz w:val="21"/>
                <w:szCs w:val="21"/>
              </w:rPr>
              <w:t xml:space="preserve">either </w:t>
            </w:r>
            <w:r w:rsidRPr="008458BB">
              <w:rPr>
                <w:rFonts w:ascii="Arial" w:hAnsi="Arial" w:cs="Arial"/>
                <w:sz w:val="21"/>
                <w:szCs w:val="21"/>
              </w:rPr>
              <w:t>the</w:t>
            </w:r>
            <w:proofErr w:type="gramEnd"/>
            <w:r w:rsidRPr="008458BB">
              <w:rPr>
                <w:rFonts w:ascii="Arial" w:hAnsi="Arial" w:cs="Arial"/>
                <w:sz w:val="21"/>
                <w:szCs w:val="21"/>
              </w:rPr>
              <w:t xml:space="preserve"> location, service capacity or economics</w:t>
            </w:r>
            <w:r w:rsidR="006A0BC6" w:rsidRPr="008458BB">
              <w:rPr>
                <w:rFonts w:ascii="Arial" w:hAnsi="Arial" w:cs="Arial"/>
                <w:sz w:val="21"/>
                <w:szCs w:val="21"/>
              </w:rPr>
              <w:t xml:space="preserve"> are dependent on the University’s use of the property</w:t>
            </w:r>
            <w:r w:rsidRPr="008458BB">
              <w:rPr>
                <w:rFonts w:ascii="Arial" w:hAnsi="Arial" w:cs="Arial"/>
                <w:sz w:val="21"/>
                <w:szCs w:val="21"/>
              </w:rPr>
              <w:t>?</w:t>
            </w:r>
          </w:p>
        </w:tc>
        <w:tc>
          <w:tcPr>
            <w:tcW w:w="2520" w:type="dxa"/>
          </w:tcPr>
          <w:p w:rsidR="00E120CB" w:rsidRPr="008458BB" w:rsidRDefault="00166495" w:rsidP="00CD7180">
            <w:pPr>
              <w:tabs>
                <w:tab w:val="left" w:pos="72"/>
              </w:tabs>
              <w:rPr>
                <w:rFonts w:ascii="Arial" w:hAnsi="Arial" w:cs="Arial"/>
                <w:sz w:val="21"/>
                <w:szCs w:val="21"/>
              </w:rPr>
            </w:pPr>
            <w:sdt>
              <w:sdtPr>
                <w:rPr>
                  <w:rFonts w:ascii="Arial" w:hAnsi="Arial" w:cs="Arial"/>
                  <w:sz w:val="21"/>
                  <w:szCs w:val="21"/>
                </w:rPr>
                <w:id w:val="-350106193"/>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No</w:t>
            </w:r>
          </w:p>
        </w:tc>
        <w:tc>
          <w:tcPr>
            <w:tcW w:w="2700" w:type="dxa"/>
          </w:tcPr>
          <w:p w:rsidR="00E120CB" w:rsidRPr="008458BB" w:rsidRDefault="00166495" w:rsidP="00CD7180">
            <w:pPr>
              <w:rPr>
                <w:rFonts w:ascii="Arial" w:hAnsi="Arial" w:cs="Arial"/>
                <w:sz w:val="21"/>
                <w:szCs w:val="21"/>
              </w:rPr>
            </w:pPr>
            <w:sdt>
              <w:sdtPr>
                <w:rPr>
                  <w:rFonts w:ascii="Arial" w:hAnsi="Arial" w:cs="Arial"/>
                  <w:sz w:val="21"/>
                  <w:szCs w:val="21"/>
                </w:rPr>
                <w:id w:val="648488847"/>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Possibly </w:t>
            </w:r>
          </w:p>
        </w:tc>
        <w:tc>
          <w:tcPr>
            <w:tcW w:w="3150" w:type="dxa"/>
          </w:tcPr>
          <w:p w:rsidR="00E120CB" w:rsidRPr="008458BB" w:rsidRDefault="00166495" w:rsidP="00CD7180">
            <w:pPr>
              <w:rPr>
                <w:rFonts w:ascii="Arial" w:hAnsi="Arial" w:cs="Arial"/>
                <w:sz w:val="21"/>
                <w:szCs w:val="21"/>
              </w:rPr>
            </w:pPr>
            <w:sdt>
              <w:sdtPr>
                <w:rPr>
                  <w:rFonts w:ascii="Arial" w:hAnsi="Arial" w:cs="Arial"/>
                  <w:sz w:val="21"/>
                  <w:szCs w:val="21"/>
                </w:rPr>
                <w:id w:val="-313645335"/>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Yes</w:t>
            </w:r>
          </w:p>
        </w:tc>
      </w:tr>
      <w:tr w:rsidR="00E120CB" w:rsidRPr="008458BB" w:rsidTr="008458BB">
        <w:trPr>
          <w:cantSplit/>
        </w:trPr>
        <w:tc>
          <w:tcPr>
            <w:tcW w:w="3150" w:type="dxa"/>
          </w:tcPr>
          <w:p w:rsidR="00E120CB" w:rsidRPr="008458BB" w:rsidRDefault="00E120CB" w:rsidP="00E120CB">
            <w:pPr>
              <w:rPr>
                <w:rFonts w:ascii="Arial" w:hAnsi="Arial" w:cs="Arial"/>
                <w:sz w:val="21"/>
                <w:szCs w:val="21"/>
              </w:rPr>
            </w:pPr>
            <w:r w:rsidRPr="008458BB">
              <w:rPr>
                <w:rFonts w:ascii="Arial" w:hAnsi="Arial" w:cs="Arial"/>
                <w:sz w:val="21"/>
                <w:szCs w:val="21"/>
              </w:rPr>
              <w:t>What is the University’s current or planned future use of the property?</w:t>
            </w:r>
          </w:p>
        </w:tc>
        <w:tc>
          <w:tcPr>
            <w:tcW w:w="2520" w:type="dxa"/>
          </w:tcPr>
          <w:p w:rsidR="00E120CB" w:rsidRPr="008458BB" w:rsidRDefault="00166495" w:rsidP="006A0BC6">
            <w:pPr>
              <w:tabs>
                <w:tab w:val="left" w:pos="72"/>
              </w:tabs>
              <w:rPr>
                <w:rFonts w:ascii="Arial" w:hAnsi="Arial" w:cs="Arial"/>
                <w:sz w:val="21"/>
                <w:szCs w:val="21"/>
              </w:rPr>
            </w:pPr>
            <w:sdt>
              <w:sdtPr>
                <w:rPr>
                  <w:rFonts w:ascii="Arial" w:hAnsi="Arial" w:cs="Arial"/>
                  <w:sz w:val="21"/>
                  <w:szCs w:val="21"/>
                </w:rPr>
                <w:id w:val="-480080989"/>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w:t>
            </w:r>
            <w:r w:rsidR="006A0BC6" w:rsidRPr="008458BB">
              <w:rPr>
                <w:rFonts w:ascii="Arial" w:hAnsi="Arial" w:cs="Arial"/>
                <w:sz w:val="21"/>
                <w:szCs w:val="21"/>
              </w:rPr>
              <w:t>None or l</w:t>
            </w:r>
            <w:r w:rsidR="00E120CB" w:rsidRPr="008458BB">
              <w:rPr>
                <w:rFonts w:ascii="Arial" w:hAnsi="Arial" w:cs="Arial"/>
                <w:sz w:val="21"/>
                <w:szCs w:val="21"/>
              </w:rPr>
              <w:t>ess than 20% use by the University</w:t>
            </w:r>
          </w:p>
        </w:tc>
        <w:tc>
          <w:tcPr>
            <w:tcW w:w="2700" w:type="dxa"/>
          </w:tcPr>
          <w:p w:rsidR="00E120CB" w:rsidRPr="008458BB" w:rsidRDefault="00166495" w:rsidP="001D7F77">
            <w:pPr>
              <w:rPr>
                <w:rFonts w:ascii="Arial" w:hAnsi="Arial" w:cs="Arial"/>
                <w:sz w:val="21"/>
                <w:szCs w:val="21"/>
              </w:rPr>
            </w:pPr>
            <w:sdt>
              <w:sdtPr>
                <w:rPr>
                  <w:rFonts w:ascii="Arial" w:hAnsi="Arial" w:cs="Arial"/>
                  <w:sz w:val="21"/>
                  <w:szCs w:val="21"/>
                </w:rPr>
                <w:id w:val="1278762261"/>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Between 20% and 50% use by the University</w:t>
            </w:r>
          </w:p>
        </w:tc>
        <w:tc>
          <w:tcPr>
            <w:tcW w:w="3150" w:type="dxa"/>
          </w:tcPr>
          <w:p w:rsidR="00E120CB" w:rsidRPr="008458BB" w:rsidRDefault="00166495" w:rsidP="001D7F77">
            <w:pPr>
              <w:rPr>
                <w:rFonts w:ascii="Arial" w:hAnsi="Arial" w:cs="Arial"/>
                <w:sz w:val="21"/>
                <w:szCs w:val="21"/>
              </w:rPr>
            </w:pPr>
            <w:sdt>
              <w:sdtPr>
                <w:rPr>
                  <w:rFonts w:ascii="Arial" w:hAnsi="Arial" w:cs="Arial"/>
                  <w:sz w:val="21"/>
                  <w:szCs w:val="21"/>
                </w:rPr>
                <w:id w:val="1411427582"/>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Over 50% use by the University</w:t>
            </w:r>
          </w:p>
        </w:tc>
      </w:tr>
      <w:tr w:rsidR="00E120CB" w:rsidRPr="008458BB" w:rsidTr="008458BB">
        <w:trPr>
          <w:cantSplit/>
        </w:trPr>
        <w:tc>
          <w:tcPr>
            <w:tcW w:w="3150" w:type="dxa"/>
          </w:tcPr>
          <w:p w:rsidR="00E120CB" w:rsidRPr="008458BB" w:rsidRDefault="00E120CB" w:rsidP="00EC419C">
            <w:pPr>
              <w:rPr>
                <w:rFonts w:ascii="Arial" w:hAnsi="Arial" w:cs="Arial"/>
                <w:sz w:val="21"/>
                <w:szCs w:val="21"/>
              </w:rPr>
            </w:pPr>
            <w:r w:rsidRPr="008458BB">
              <w:rPr>
                <w:rFonts w:ascii="Arial" w:hAnsi="Arial" w:cs="Arial"/>
                <w:sz w:val="21"/>
                <w:szCs w:val="21"/>
              </w:rPr>
              <w:lastRenderedPageBreak/>
              <w:t>Are there construction or renovation plans to accommodate use of property by the University?</w:t>
            </w:r>
          </w:p>
        </w:tc>
        <w:tc>
          <w:tcPr>
            <w:tcW w:w="2520" w:type="dxa"/>
          </w:tcPr>
          <w:p w:rsidR="00E120CB" w:rsidRPr="008458BB" w:rsidRDefault="00166495" w:rsidP="00074F0B">
            <w:pPr>
              <w:tabs>
                <w:tab w:val="left" w:pos="72"/>
              </w:tabs>
              <w:rPr>
                <w:rFonts w:ascii="Arial" w:hAnsi="Arial" w:cs="Arial"/>
                <w:sz w:val="21"/>
                <w:szCs w:val="21"/>
              </w:rPr>
            </w:pPr>
            <w:sdt>
              <w:sdtPr>
                <w:rPr>
                  <w:rFonts w:ascii="Arial" w:hAnsi="Arial" w:cs="Arial"/>
                  <w:sz w:val="21"/>
                  <w:szCs w:val="21"/>
                </w:rPr>
                <w:id w:val="1399317647"/>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There are no plans to renovate the property to accommodate use of property by the University</w:t>
            </w:r>
          </w:p>
        </w:tc>
        <w:tc>
          <w:tcPr>
            <w:tcW w:w="2700" w:type="dxa"/>
          </w:tcPr>
          <w:p w:rsidR="00E120CB" w:rsidRPr="008458BB" w:rsidRDefault="00166495" w:rsidP="00074F0B">
            <w:pPr>
              <w:rPr>
                <w:rFonts w:ascii="Arial" w:hAnsi="Arial" w:cs="Arial"/>
                <w:sz w:val="21"/>
                <w:szCs w:val="21"/>
              </w:rPr>
            </w:pPr>
            <w:sdt>
              <w:sdtPr>
                <w:rPr>
                  <w:rFonts w:ascii="Arial" w:hAnsi="Arial" w:cs="Arial"/>
                  <w:sz w:val="21"/>
                  <w:szCs w:val="21"/>
                </w:rPr>
                <w:id w:val="-1092463548"/>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There are potential plans to renovate the property to accommodate use of property by the University</w:t>
            </w:r>
          </w:p>
        </w:tc>
        <w:tc>
          <w:tcPr>
            <w:tcW w:w="3150" w:type="dxa"/>
          </w:tcPr>
          <w:p w:rsidR="00E120CB" w:rsidRPr="008458BB" w:rsidRDefault="00166495" w:rsidP="00074F0B">
            <w:pPr>
              <w:rPr>
                <w:rFonts w:ascii="Arial" w:hAnsi="Arial" w:cs="Arial"/>
                <w:sz w:val="21"/>
                <w:szCs w:val="21"/>
              </w:rPr>
            </w:pPr>
            <w:sdt>
              <w:sdtPr>
                <w:rPr>
                  <w:rFonts w:ascii="Arial" w:hAnsi="Arial" w:cs="Arial"/>
                  <w:sz w:val="21"/>
                  <w:szCs w:val="21"/>
                </w:rPr>
                <w:id w:val="56908221"/>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There are plans to renovate the property to accommodate use of property by the University</w:t>
            </w:r>
          </w:p>
        </w:tc>
      </w:tr>
      <w:tr w:rsidR="00E120CB" w:rsidRPr="008458BB" w:rsidTr="008458BB">
        <w:trPr>
          <w:cantSplit/>
        </w:trPr>
        <w:tc>
          <w:tcPr>
            <w:tcW w:w="3150" w:type="dxa"/>
          </w:tcPr>
          <w:p w:rsidR="00E120CB" w:rsidRPr="008458BB" w:rsidRDefault="00E120CB" w:rsidP="00EC419C">
            <w:pPr>
              <w:rPr>
                <w:rFonts w:ascii="Arial" w:hAnsi="Arial" w:cs="Arial"/>
                <w:sz w:val="21"/>
                <w:szCs w:val="21"/>
              </w:rPr>
            </w:pPr>
            <w:r w:rsidRPr="008458BB">
              <w:rPr>
                <w:rFonts w:ascii="Arial" w:hAnsi="Arial" w:cs="Arial"/>
                <w:sz w:val="21"/>
                <w:szCs w:val="21"/>
              </w:rPr>
              <w:t xml:space="preserve">If University use is contemplated, what is the planned timing for the arrangements with the campus or medical center? </w:t>
            </w:r>
          </w:p>
          <w:p w:rsidR="00E120CB" w:rsidRPr="008458BB" w:rsidRDefault="00E120CB" w:rsidP="00EC419C">
            <w:pPr>
              <w:rPr>
                <w:rFonts w:ascii="Arial" w:hAnsi="Arial" w:cs="Arial"/>
                <w:sz w:val="21"/>
                <w:szCs w:val="21"/>
              </w:rPr>
            </w:pPr>
          </w:p>
        </w:tc>
        <w:tc>
          <w:tcPr>
            <w:tcW w:w="2520" w:type="dxa"/>
          </w:tcPr>
          <w:p w:rsidR="00E120CB" w:rsidRPr="008458BB" w:rsidRDefault="00166495" w:rsidP="003C3A7D">
            <w:pPr>
              <w:tabs>
                <w:tab w:val="left" w:pos="72"/>
              </w:tabs>
              <w:rPr>
                <w:rFonts w:ascii="Arial" w:hAnsi="Arial" w:cs="Arial"/>
                <w:sz w:val="21"/>
                <w:szCs w:val="21"/>
              </w:rPr>
            </w:pPr>
            <w:sdt>
              <w:sdtPr>
                <w:rPr>
                  <w:rFonts w:ascii="Arial" w:hAnsi="Arial" w:cs="Arial"/>
                  <w:sz w:val="21"/>
                  <w:szCs w:val="21"/>
                </w:rPr>
                <w:id w:val="-636334579"/>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w:t>
            </w:r>
            <w:r w:rsidR="003C3A7D">
              <w:rPr>
                <w:rFonts w:ascii="Arial" w:hAnsi="Arial" w:cs="Arial"/>
                <w:sz w:val="21"/>
                <w:szCs w:val="21"/>
              </w:rPr>
              <w:t>Not applicable or m</w:t>
            </w:r>
            <w:r w:rsidR="00E120CB" w:rsidRPr="008458BB">
              <w:rPr>
                <w:rFonts w:ascii="Arial" w:hAnsi="Arial" w:cs="Arial"/>
                <w:sz w:val="21"/>
                <w:szCs w:val="21"/>
              </w:rPr>
              <w:t>ore than 5 years after the property is acquired</w:t>
            </w:r>
          </w:p>
        </w:tc>
        <w:tc>
          <w:tcPr>
            <w:tcW w:w="2700" w:type="dxa"/>
          </w:tcPr>
          <w:p w:rsidR="00E120CB" w:rsidRPr="008458BB" w:rsidRDefault="00166495" w:rsidP="001D7F77">
            <w:pPr>
              <w:rPr>
                <w:rFonts w:ascii="Arial" w:hAnsi="Arial" w:cs="Arial"/>
                <w:sz w:val="21"/>
                <w:szCs w:val="21"/>
              </w:rPr>
            </w:pPr>
            <w:sdt>
              <w:sdtPr>
                <w:rPr>
                  <w:rFonts w:ascii="Arial" w:hAnsi="Arial" w:cs="Arial"/>
                  <w:sz w:val="21"/>
                  <w:szCs w:val="21"/>
                </w:rPr>
                <w:id w:val="1826554595"/>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Between 2 and 5 years after the property is acquired</w:t>
            </w:r>
          </w:p>
        </w:tc>
        <w:tc>
          <w:tcPr>
            <w:tcW w:w="3150" w:type="dxa"/>
          </w:tcPr>
          <w:p w:rsidR="00E120CB" w:rsidRPr="008458BB" w:rsidRDefault="00166495" w:rsidP="001D7F77">
            <w:pPr>
              <w:rPr>
                <w:rFonts w:ascii="Arial" w:hAnsi="Arial" w:cs="Arial"/>
                <w:sz w:val="21"/>
                <w:szCs w:val="21"/>
              </w:rPr>
            </w:pPr>
            <w:sdt>
              <w:sdtPr>
                <w:rPr>
                  <w:rFonts w:ascii="Arial" w:hAnsi="Arial" w:cs="Arial"/>
                  <w:sz w:val="21"/>
                  <w:szCs w:val="21"/>
                </w:rPr>
                <w:id w:val="1992137511"/>
                <w14:checkbox>
                  <w14:checked w14:val="0"/>
                  <w14:checkedState w14:val="2612" w14:font="MS Gothic"/>
                  <w14:uncheckedState w14:val="2610" w14:font="MS Gothic"/>
                </w14:checkbox>
              </w:sdtPr>
              <w:sdtEndPr/>
              <w:sdtContent>
                <w:r w:rsidR="00E120CB" w:rsidRPr="008458BB">
                  <w:rPr>
                    <w:rFonts w:ascii="MS Gothic" w:eastAsia="MS Gothic" w:hAnsi="MS Gothic" w:cs="MS Gothic" w:hint="eastAsia"/>
                    <w:sz w:val="21"/>
                    <w:szCs w:val="21"/>
                  </w:rPr>
                  <w:t>☐</w:t>
                </w:r>
              </w:sdtContent>
            </w:sdt>
            <w:r w:rsidR="00E120CB" w:rsidRPr="008458BB">
              <w:rPr>
                <w:rFonts w:ascii="Arial" w:hAnsi="Arial" w:cs="Arial"/>
                <w:sz w:val="21"/>
                <w:szCs w:val="21"/>
              </w:rPr>
              <w:t xml:space="preserve"> Less than 2 years after the property is acquired</w:t>
            </w:r>
          </w:p>
        </w:tc>
      </w:tr>
      <w:tr w:rsidR="00482BF2" w:rsidRPr="008458BB" w:rsidTr="008458BB">
        <w:trPr>
          <w:cantSplit/>
        </w:trPr>
        <w:tc>
          <w:tcPr>
            <w:tcW w:w="3150" w:type="dxa"/>
          </w:tcPr>
          <w:p w:rsidR="00482BF2" w:rsidRPr="008458BB" w:rsidRDefault="00482BF2">
            <w:pPr>
              <w:rPr>
                <w:rFonts w:ascii="Arial" w:hAnsi="Arial" w:cs="Arial"/>
                <w:sz w:val="21"/>
                <w:szCs w:val="21"/>
              </w:rPr>
            </w:pPr>
            <w:r w:rsidRPr="008458BB">
              <w:rPr>
                <w:rFonts w:ascii="Arial" w:hAnsi="Arial" w:cs="Arial"/>
                <w:sz w:val="21"/>
                <w:szCs w:val="21"/>
              </w:rPr>
              <w:t xml:space="preserve">What is the expected or planned term of the University’s use of the </w:t>
            </w:r>
            <w:r w:rsidR="00651D08" w:rsidRPr="008458BB">
              <w:rPr>
                <w:rFonts w:ascii="Arial" w:hAnsi="Arial" w:cs="Arial"/>
                <w:sz w:val="21"/>
                <w:szCs w:val="21"/>
              </w:rPr>
              <w:t>property</w:t>
            </w:r>
            <w:r w:rsidRPr="008458BB" w:rsidDel="006A0BC6">
              <w:rPr>
                <w:rFonts w:ascii="Arial" w:hAnsi="Arial" w:cs="Arial"/>
                <w:sz w:val="21"/>
                <w:szCs w:val="21"/>
              </w:rPr>
              <w:t>?</w:t>
            </w:r>
            <w:r w:rsidRPr="008458BB">
              <w:rPr>
                <w:rFonts w:ascii="Arial" w:hAnsi="Arial" w:cs="Arial"/>
                <w:sz w:val="21"/>
                <w:szCs w:val="21"/>
              </w:rPr>
              <w:t xml:space="preserve">  </w:t>
            </w:r>
          </w:p>
        </w:tc>
        <w:tc>
          <w:tcPr>
            <w:tcW w:w="2520" w:type="dxa"/>
          </w:tcPr>
          <w:p w:rsidR="00482BF2" w:rsidRPr="008458BB" w:rsidRDefault="00166495">
            <w:pPr>
              <w:tabs>
                <w:tab w:val="left" w:pos="72"/>
              </w:tabs>
              <w:rPr>
                <w:rFonts w:ascii="Arial" w:eastAsia="MS Gothic" w:hAnsi="Arial" w:cs="Arial"/>
                <w:sz w:val="21"/>
                <w:szCs w:val="21"/>
              </w:rPr>
            </w:pPr>
            <w:sdt>
              <w:sdtPr>
                <w:rPr>
                  <w:rFonts w:ascii="Arial" w:hAnsi="Arial" w:cs="Arial"/>
                  <w:sz w:val="21"/>
                  <w:szCs w:val="21"/>
                </w:rPr>
                <w:id w:val="506021464"/>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w:t>
            </w:r>
            <w:r w:rsidR="00651D08" w:rsidRPr="008458BB">
              <w:rPr>
                <w:rFonts w:ascii="Arial" w:hAnsi="Arial" w:cs="Arial"/>
                <w:sz w:val="21"/>
                <w:szCs w:val="21"/>
              </w:rPr>
              <w:t>Not applicable or s</w:t>
            </w:r>
            <w:r w:rsidR="00482BF2" w:rsidRPr="008458BB">
              <w:rPr>
                <w:rFonts w:ascii="Arial" w:hAnsi="Arial" w:cs="Arial"/>
                <w:sz w:val="21"/>
                <w:szCs w:val="21"/>
              </w:rPr>
              <w:t>hort term arrangement, i.e. less than 2 years</w:t>
            </w:r>
          </w:p>
        </w:tc>
        <w:tc>
          <w:tcPr>
            <w:tcW w:w="270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112069384"/>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Medium term arrangement, i.e. between 2 and 5 years</w:t>
            </w:r>
          </w:p>
        </w:tc>
        <w:tc>
          <w:tcPr>
            <w:tcW w:w="315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878592031"/>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Long term arrangement, i.e. 5 years or more</w:t>
            </w:r>
          </w:p>
        </w:tc>
      </w:tr>
      <w:tr w:rsidR="00482BF2" w:rsidRPr="008458BB" w:rsidTr="008458BB">
        <w:trPr>
          <w:cantSplit/>
        </w:trPr>
        <w:tc>
          <w:tcPr>
            <w:tcW w:w="3150" w:type="dxa"/>
          </w:tcPr>
          <w:p w:rsidR="00482BF2" w:rsidRPr="008458BB" w:rsidRDefault="00482BF2">
            <w:pPr>
              <w:rPr>
                <w:rFonts w:ascii="Arial" w:hAnsi="Arial" w:cs="Arial"/>
                <w:sz w:val="21"/>
                <w:szCs w:val="21"/>
              </w:rPr>
            </w:pPr>
            <w:r w:rsidRPr="008458BB">
              <w:rPr>
                <w:rFonts w:ascii="Arial" w:hAnsi="Arial" w:cs="Arial"/>
                <w:sz w:val="21"/>
                <w:szCs w:val="21"/>
              </w:rPr>
              <w:t>What proportion of the property will the University be using (occupancy % or number of beds)?</w:t>
            </w:r>
          </w:p>
        </w:tc>
        <w:tc>
          <w:tcPr>
            <w:tcW w:w="2520" w:type="dxa"/>
          </w:tcPr>
          <w:p w:rsidR="00482BF2" w:rsidRPr="008458BB" w:rsidRDefault="00166495" w:rsidP="001D7F77">
            <w:pPr>
              <w:tabs>
                <w:tab w:val="left" w:pos="72"/>
              </w:tabs>
              <w:rPr>
                <w:rFonts w:ascii="Arial" w:eastAsia="MS Gothic" w:hAnsi="Arial" w:cs="Arial"/>
                <w:sz w:val="21"/>
                <w:szCs w:val="21"/>
              </w:rPr>
            </w:pPr>
            <w:sdt>
              <w:sdtPr>
                <w:rPr>
                  <w:rFonts w:ascii="Arial" w:hAnsi="Arial" w:cs="Arial"/>
                  <w:sz w:val="21"/>
                  <w:szCs w:val="21"/>
                </w:rPr>
                <w:id w:val="1127053843"/>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Less than 20% of the property</w:t>
            </w:r>
          </w:p>
        </w:tc>
        <w:tc>
          <w:tcPr>
            <w:tcW w:w="270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1970937612"/>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Between 20% and 50% of the property</w:t>
            </w:r>
          </w:p>
        </w:tc>
        <w:tc>
          <w:tcPr>
            <w:tcW w:w="315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1880589454"/>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Over 50% of the property</w:t>
            </w:r>
          </w:p>
        </w:tc>
      </w:tr>
      <w:tr w:rsidR="00482BF2" w:rsidRPr="008458BB" w:rsidTr="008458BB">
        <w:trPr>
          <w:cantSplit/>
        </w:trPr>
        <w:tc>
          <w:tcPr>
            <w:tcW w:w="3150" w:type="dxa"/>
          </w:tcPr>
          <w:p w:rsidR="00482BF2" w:rsidRPr="008458BB" w:rsidRDefault="00482BF2">
            <w:pPr>
              <w:rPr>
                <w:rFonts w:ascii="Arial" w:hAnsi="Arial" w:cs="Arial"/>
                <w:sz w:val="21"/>
                <w:szCs w:val="21"/>
              </w:rPr>
            </w:pPr>
            <w:r w:rsidRPr="008458BB">
              <w:rPr>
                <w:rFonts w:ascii="Arial" w:hAnsi="Arial" w:cs="Arial"/>
                <w:sz w:val="21"/>
                <w:szCs w:val="21"/>
              </w:rPr>
              <w:t>What rental rates will the University pay for use of the property?</w:t>
            </w:r>
          </w:p>
        </w:tc>
        <w:tc>
          <w:tcPr>
            <w:tcW w:w="2520" w:type="dxa"/>
          </w:tcPr>
          <w:p w:rsidR="00482BF2" w:rsidRPr="008458BB" w:rsidRDefault="00166495" w:rsidP="001D7F77">
            <w:pPr>
              <w:tabs>
                <w:tab w:val="left" w:pos="72"/>
              </w:tabs>
              <w:rPr>
                <w:rFonts w:ascii="Arial" w:eastAsia="MS Gothic" w:hAnsi="Arial" w:cs="Arial"/>
                <w:sz w:val="21"/>
                <w:szCs w:val="21"/>
              </w:rPr>
            </w:pPr>
            <w:sdt>
              <w:sdtPr>
                <w:rPr>
                  <w:rFonts w:ascii="Arial" w:hAnsi="Arial" w:cs="Arial"/>
                  <w:sz w:val="21"/>
                  <w:szCs w:val="21"/>
                </w:rPr>
                <w:id w:val="-1612274228"/>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Market rates</w:t>
            </w:r>
          </w:p>
        </w:tc>
        <w:tc>
          <w:tcPr>
            <w:tcW w:w="270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183595702"/>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Limitations on rent increases such as CPI</w:t>
            </w:r>
          </w:p>
        </w:tc>
        <w:tc>
          <w:tcPr>
            <w:tcW w:w="315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1417465610"/>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Promise for less than market rates</w:t>
            </w:r>
          </w:p>
        </w:tc>
      </w:tr>
      <w:tr w:rsidR="00482BF2" w:rsidRPr="008458BB" w:rsidTr="008458BB">
        <w:trPr>
          <w:cantSplit/>
        </w:trPr>
        <w:tc>
          <w:tcPr>
            <w:tcW w:w="3150" w:type="dxa"/>
          </w:tcPr>
          <w:p w:rsidR="00482BF2" w:rsidRPr="008458BB" w:rsidRDefault="00482BF2" w:rsidP="00EC419C">
            <w:pPr>
              <w:rPr>
                <w:rFonts w:ascii="Arial" w:hAnsi="Arial" w:cs="Arial"/>
                <w:sz w:val="21"/>
                <w:szCs w:val="21"/>
              </w:rPr>
            </w:pPr>
            <w:r w:rsidRPr="008458BB">
              <w:rPr>
                <w:rFonts w:ascii="Arial" w:hAnsi="Arial" w:cs="Arial"/>
                <w:sz w:val="21"/>
                <w:szCs w:val="21"/>
              </w:rPr>
              <w:t>Are there any other plans to involve a campus or medical center in the operations of the property (i.e. through a master lease or management contract)</w:t>
            </w:r>
            <w:proofErr w:type="gramStart"/>
            <w:r w:rsidRPr="008458BB">
              <w:rPr>
                <w:rFonts w:ascii="Arial" w:hAnsi="Arial" w:cs="Arial"/>
                <w:sz w:val="21"/>
                <w:szCs w:val="21"/>
              </w:rPr>
              <w:t>?</w:t>
            </w:r>
            <w:r w:rsidRPr="008458BB" w:rsidDel="006A0BC6">
              <w:rPr>
                <w:rFonts w:ascii="Arial" w:hAnsi="Arial" w:cs="Arial"/>
                <w:sz w:val="21"/>
                <w:szCs w:val="21"/>
              </w:rPr>
              <w:t>Any</w:t>
            </w:r>
            <w:proofErr w:type="gramEnd"/>
            <w:r w:rsidRPr="008458BB" w:rsidDel="006A0BC6">
              <w:rPr>
                <w:rFonts w:ascii="Arial" w:hAnsi="Arial" w:cs="Arial"/>
                <w:sz w:val="21"/>
                <w:szCs w:val="21"/>
              </w:rPr>
              <w:t xml:space="preserve"> other structuring considerations?</w:t>
            </w:r>
          </w:p>
        </w:tc>
        <w:tc>
          <w:tcPr>
            <w:tcW w:w="2520" w:type="dxa"/>
          </w:tcPr>
          <w:p w:rsidR="00482BF2" w:rsidRPr="008458BB" w:rsidRDefault="00166495" w:rsidP="001D7F77">
            <w:pPr>
              <w:tabs>
                <w:tab w:val="left" w:pos="72"/>
              </w:tabs>
              <w:rPr>
                <w:rFonts w:ascii="Arial" w:eastAsia="MS Gothic" w:hAnsi="Arial" w:cs="Arial"/>
                <w:sz w:val="21"/>
                <w:szCs w:val="21"/>
              </w:rPr>
            </w:pPr>
            <w:sdt>
              <w:sdtPr>
                <w:rPr>
                  <w:rFonts w:ascii="Arial" w:hAnsi="Arial" w:cs="Arial"/>
                  <w:sz w:val="21"/>
                  <w:szCs w:val="21"/>
                </w:rPr>
                <w:id w:val="-1466892817"/>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Campus is not involved in  operations of the property and has no influence over the decisions related to the property, i.e. budget, rental rates, design, renovations, etc.</w:t>
            </w:r>
          </w:p>
        </w:tc>
        <w:tc>
          <w:tcPr>
            <w:tcW w:w="270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834734611"/>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Campus is somewhat involved in the operations of the property and can influence decisions related to the operations of the property, such as budget, rental rates, design, renovations, etc.</w:t>
            </w:r>
          </w:p>
        </w:tc>
        <w:tc>
          <w:tcPr>
            <w:tcW w:w="3150" w:type="dxa"/>
          </w:tcPr>
          <w:p w:rsidR="00482BF2" w:rsidRPr="008458BB" w:rsidRDefault="00166495" w:rsidP="001D7F77">
            <w:pPr>
              <w:rPr>
                <w:rFonts w:ascii="Arial" w:eastAsia="MS Gothic" w:hAnsi="Arial" w:cs="Arial"/>
                <w:sz w:val="21"/>
                <w:szCs w:val="21"/>
              </w:rPr>
            </w:pPr>
            <w:sdt>
              <w:sdtPr>
                <w:rPr>
                  <w:rFonts w:ascii="Arial" w:hAnsi="Arial" w:cs="Arial"/>
                  <w:sz w:val="21"/>
                  <w:szCs w:val="21"/>
                </w:rPr>
                <w:id w:val="-974753248"/>
                <w14:checkbox>
                  <w14:checked w14:val="0"/>
                  <w14:checkedState w14:val="2612" w14:font="MS Gothic"/>
                  <w14:uncheckedState w14:val="2610" w14:font="MS Gothic"/>
                </w14:checkbox>
              </w:sdtPr>
              <w:sdtEndPr/>
              <w:sdtContent>
                <w:r w:rsidR="00482BF2" w:rsidRPr="008458BB">
                  <w:rPr>
                    <w:rFonts w:ascii="MS Gothic" w:eastAsia="MS Gothic" w:hAnsi="MS Gothic" w:cs="MS Gothic" w:hint="eastAsia"/>
                    <w:sz w:val="21"/>
                    <w:szCs w:val="21"/>
                  </w:rPr>
                  <w:t>☐</w:t>
                </w:r>
              </w:sdtContent>
            </w:sdt>
            <w:r w:rsidR="00482BF2" w:rsidRPr="008458BB">
              <w:rPr>
                <w:rFonts w:ascii="Arial" w:hAnsi="Arial" w:cs="Arial"/>
                <w:sz w:val="21"/>
                <w:szCs w:val="21"/>
              </w:rPr>
              <w:t xml:space="preserve"> Campus is managing the property and has significant input into decisions related to the operations of the property, such as budget, rental rates, renovations, etc.</w:t>
            </w:r>
          </w:p>
        </w:tc>
      </w:tr>
    </w:tbl>
    <w:p w:rsidR="009C67B5" w:rsidRPr="008458BB" w:rsidRDefault="009C67B5" w:rsidP="009C67B5">
      <w:pPr>
        <w:contextualSpacing/>
        <w:jc w:val="right"/>
        <w:rPr>
          <w:rFonts w:ascii="Arial" w:hAnsi="Arial" w:cs="Arial"/>
        </w:rPr>
      </w:pPr>
    </w:p>
    <w:p w:rsidR="0010283B" w:rsidRPr="008458BB" w:rsidRDefault="00ED6204" w:rsidP="0010283B">
      <w:pPr>
        <w:contextualSpacing/>
        <w:jc w:val="both"/>
        <w:rPr>
          <w:rFonts w:ascii="Arial" w:hAnsi="Arial" w:cs="Arial"/>
          <w:b/>
        </w:rPr>
      </w:pPr>
      <w:r w:rsidRPr="008458BB">
        <w:rPr>
          <w:rFonts w:ascii="Arial" w:hAnsi="Arial" w:cs="Arial"/>
          <w:b/>
        </w:rPr>
        <w:t>Step 3 - Conclusion:</w:t>
      </w:r>
    </w:p>
    <w:tbl>
      <w:tblPr>
        <w:tblStyle w:val="TableGrid"/>
        <w:tblW w:w="10890" w:type="dxa"/>
        <w:tblInd w:w="-342" w:type="dxa"/>
        <w:tblLook w:val="04A0" w:firstRow="1" w:lastRow="0" w:firstColumn="1" w:lastColumn="0" w:noHBand="0" w:noVBand="1"/>
      </w:tblPr>
      <w:tblGrid>
        <w:gridCol w:w="6750"/>
        <w:gridCol w:w="1800"/>
        <w:gridCol w:w="2340"/>
      </w:tblGrid>
      <w:tr w:rsidR="0010283B" w:rsidRPr="008458BB" w:rsidTr="00AF5A1C">
        <w:tc>
          <w:tcPr>
            <w:tcW w:w="6750" w:type="dxa"/>
          </w:tcPr>
          <w:p w:rsidR="0010283B" w:rsidRPr="008458BB" w:rsidRDefault="0010283B" w:rsidP="00115250">
            <w:pPr>
              <w:contextualSpacing/>
              <w:jc w:val="both"/>
              <w:rPr>
                <w:rFonts w:ascii="Arial" w:hAnsi="Arial" w:cs="Arial"/>
                <w:sz w:val="20"/>
              </w:rPr>
            </w:pPr>
          </w:p>
          <w:p w:rsidR="0010283B" w:rsidRPr="008458BB" w:rsidRDefault="00ED6204" w:rsidP="00115250">
            <w:pPr>
              <w:contextualSpacing/>
              <w:jc w:val="both"/>
              <w:rPr>
                <w:rFonts w:ascii="Arial" w:hAnsi="Arial" w:cs="Arial"/>
                <w:sz w:val="20"/>
              </w:rPr>
            </w:pPr>
            <w:r w:rsidRPr="008458BB">
              <w:rPr>
                <w:rFonts w:ascii="Arial" w:hAnsi="Arial" w:cs="Arial"/>
                <w:sz w:val="20"/>
              </w:rPr>
              <w:t xml:space="preserve">Based on the above </w:t>
            </w:r>
            <w:r w:rsidR="009C67B5" w:rsidRPr="008458BB">
              <w:rPr>
                <w:rFonts w:ascii="Arial" w:hAnsi="Arial" w:cs="Arial"/>
                <w:sz w:val="20"/>
              </w:rPr>
              <w:t>analysis and indicators</w:t>
            </w:r>
            <w:r w:rsidRPr="008458BB">
              <w:rPr>
                <w:rFonts w:ascii="Arial" w:hAnsi="Arial" w:cs="Arial"/>
                <w:sz w:val="20"/>
              </w:rPr>
              <w:t>, property is classified as a(n):</w:t>
            </w:r>
          </w:p>
          <w:p w:rsidR="0010283B" w:rsidRPr="008458BB" w:rsidRDefault="0010283B" w:rsidP="00115250">
            <w:pPr>
              <w:rPr>
                <w:rFonts w:ascii="Arial" w:hAnsi="Arial" w:cs="Arial"/>
                <w:sz w:val="20"/>
              </w:rPr>
            </w:pPr>
          </w:p>
        </w:tc>
        <w:tc>
          <w:tcPr>
            <w:tcW w:w="1800" w:type="dxa"/>
            <w:vAlign w:val="center"/>
          </w:tcPr>
          <w:p w:rsidR="0010283B" w:rsidRPr="008458BB" w:rsidRDefault="00166495" w:rsidP="00ED6204">
            <w:pPr>
              <w:pStyle w:val="ListParagraph"/>
              <w:tabs>
                <w:tab w:val="left" w:pos="252"/>
              </w:tabs>
              <w:ind w:left="0"/>
              <w:jc w:val="center"/>
              <w:rPr>
                <w:rFonts w:ascii="Arial" w:hAnsi="Arial" w:cs="Arial"/>
              </w:rPr>
            </w:pPr>
            <w:sdt>
              <w:sdtPr>
                <w:rPr>
                  <w:rFonts w:ascii="Arial" w:hAnsi="Arial" w:cs="Arial"/>
                </w:rPr>
                <w:id w:val="-1665936101"/>
                <w14:checkbox>
                  <w14:checked w14:val="0"/>
                  <w14:checkedState w14:val="2612" w14:font="MS Gothic"/>
                  <w14:uncheckedState w14:val="2610" w14:font="MS Gothic"/>
                </w14:checkbox>
              </w:sdtPr>
              <w:sdtEndPr/>
              <w:sdtContent>
                <w:r w:rsidR="00ED6204" w:rsidRPr="008458BB">
                  <w:rPr>
                    <w:rFonts w:ascii="MS Gothic" w:eastAsia="MS Gothic" w:hAnsi="MS Gothic" w:cs="MS Gothic" w:hint="eastAsia"/>
                  </w:rPr>
                  <w:t>☐</w:t>
                </w:r>
              </w:sdtContent>
            </w:sdt>
            <w:r w:rsidR="0010283B" w:rsidRPr="008458BB">
              <w:rPr>
                <w:rFonts w:ascii="Arial" w:hAnsi="Arial" w:cs="Arial"/>
              </w:rPr>
              <w:t xml:space="preserve"> </w:t>
            </w:r>
            <w:r w:rsidR="00074F0B" w:rsidRPr="008458BB">
              <w:rPr>
                <w:rFonts w:ascii="Arial" w:hAnsi="Arial" w:cs="Arial"/>
              </w:rPr>
              <w:t>Investment</w:t>
            </w:r>
          </w:p>
        </w:tc>
        <w:tc>
          <w:tcPr>
            <w:tcW w:w="2340" w:type="dxa"/>
            <w:vAlign w:val="center"/>
          </w:tcPr>
          <w:p w:rsidR="0010283B" w:rsidRPr="008458BB" w:rsidRDefault="00166495" w:rsidP="009C67B5">
            <w:pPr>
              <w:pStyle w:val="ListParagraph"/>
              <w:tabs>
                <w:tab w:val="left" w:pos="252"/>
              </w:tabs>
              <w:ind w:left="0"/>
              <w:jc w:val="center"/>
              <w:rPr>
                <w:rFonts w:ascii="Arial" w:hAnsi="Arial" w:cs="Arial"/>
                <w:sz w:val="20"/>
              </w:rPr>
            </w:pPr>
            <w:sdt>
              <w:sdtPr>
                <w:rPr>
                  <w:rFonts w:ascii="Arial" w:hAnsi="Arial" w:cs="Arial"/>
                </w:rPr>
                <w:id w:val="-528570832"/>
                <w14:checkbox>
                  <w14:checked w14:val="0"/>
                  <w14:checkedState w14:val="2612" w14:font="MS Gothic"/>
                  <w14:uncheckedState w14:val="2610" w14:font="MS Gothic"/>
                </w14:checkbox>
              </w:sdtPr>
              <w:sdtEndPr/>
              <w:sdtContent>
                <w:r w:rsidR="0010283B" w:rsidRPr="008458BB">
                  <w:rPr>
                    <w:rFonts w:ascii="MS Gothic" w:eastAsia="MS Gothic" w:hAnsi="MS Gothic" w:cs="MS Gothic" w:hint="eastAsia"/>
                  </w:rPr>
                  <w:t>☐</w:t>
                </w:r>
              </w:sdtContent>
            </w:sdt>
            <w:r w:rsidR="0010283B" w:rsidRPr="008458BB">
              <w:rPr>
                <w:rFonts w:ascii="Arial" w:hAnsi="Arial" w:cs="Arial"/>
              </w:rPr>
              <w:t xml:space="preserve"> </w:t>
            </w:r>
            <w:r w:rsidR="00074F0B" w:rsidRPr="008458BB">
              <w:rPr>
                <w:rFonts w:ascii="Arial" w:hAnsi="Arial" w:cs="Arial"/>
              </w:rPr>
              <w:t>Capital Asset</w:t>
            </w:r>
          </w:p>
        </w:tc>
      </w:tr>
    </w:tbl>
    <w:p w:rsidR="0010283B" w:rsidRPr="008458BB" w:rsidRDefault="0010283B" w:rsidP="0010283B">
      <w:pPr>
        <w:contextualSpacing/>
        <w:jc w:val="both"/>
        <w:rPr>
          <w:rFonts w:ascii="Arial" w:hAnsi="Arial" w:cs="Arial"/>
          <w:sz w:val="20"/>
        </w:rPr>
      </w:pPr>
      <w:r w:rsidRPr="008458BB">
        <w:rPr>
          <w:rFonts w:ascii="Arial" w:hAnsi="Arial" w:cs="Arial"/>
          <w:sz w:val="20"/>
        </w:rPr>
        <w:t>Comments:</w:t>
      </w:r>
    </w:p>
    <w:p w:rsidR="009C67B5" w:rsidRPr="008458BB" w:rsidRDefault="009C67B5" w:rsidP="005A3E51">
      <w:pPr>
        <w:contextualSpacing/>
        <w:jc w:val="both"/>
        <w:rPr>
          <w:rFonts w:ascii="Arial" w:hAnsi="Arial" w:cs="Arial"/>
          <w:b/>
        </w:rPr>
      </w:pPr>
    </w:p>
    <w:p w:rsidR="007B2927" w:rsidRPr="008458BB" w:rsidRDefault="007B2927" w:rsidP="005A3E51">
      <w:pPr>
        <w:contextualSpacing/>
        <w:jc w:val="both"/>
        <w:rPr>
          <w:rFonts w:ascii="Arial" w:hAnsi="Arial" w:cs="Arial"/>
          <w:b/>
        </w:rPr>
      </w:pPr>
    </w:p>
    <w:p w:rsidR="009C67B5" w:rsidRPr="008458BB" w:rsidRDefault="009C67B5" w:rsidP="005A3E51">
      <w:pPr>
        <w:contextualSpacing/>
        <w:jc w:val="both"/>
        <w:rPr>
          <w:rFonts w:ascii="Arial" w:hAnsi="Arial" w:cs="Arial"/>
          <w:b/>
        </w:rPr>
      </w:pPr>
    </w:p>
    <w:tbl>
      <w:tblPr>
        <w:tblStyle w:val="TableGrid"/>
        <w:tblW w:w="9810" w:type="dxa"/>
        <w:tblInd w:w="198" w:type="dxa"/>
        <w:tblLook w:val="04A0" w:firstRow="1" w:lastRow="0" w:firstColumn="1" w:lastColumn="0" w:noHBand="0" w:noVBand="1"/>
      </w:tblPr>
      <w:tblGrid>
        <w:gridCol w:w="5070"/>
        <w:gridCol w:w="4740"/>
      </w:tblGrid>
      <w:tr w:rsidR="00A708EC" w:rsidRPr="008458BB" w:rsidTr="00A708EC">
        <w:tc>
          <w:tcPr>
            <w:tcW w:w="5070" w:type="dxa"/>
          </w:tcPr>
          <w:p w:rsidR="00A708EC" w:rsidRPr="008458BB" w:rsidRDefault="00A708EC" w:rsidP="005A3E51">
            <w:pPr>
              <w:contextualSpacing/>
              <w:jc w:val="both"/>
              <w:rPr>
                <w:rFonts w:ascii="Arial" w:hAnsi="Arial" w:cs="Arial"/>
                <w:b/>
              </w:rPr>
            </w:pPr>
            <w:r w:rsidRPr="008458BB">
              <w:rPr>
                <w:rFonts w:ascii="Arial" w:hAnsi="Arial" w:cs="Arial"/>
                <w:b/>
              </w:rPr>
              <w:t xml:space="preserve">Prepared by:                 </w:t>
            </w:r>
          </w:p>
          <w:p w:rsidR="00A708EC" w:rsidRPr="008458BB" w:rsidRDefault="00A708EC" w:rsidP="005A3E51">
            <w:pPr>
              <w:contextualSpacing/>
              <w:jc w:val="both"/>
              <w:rPr>
                <w:rFonts w:ascii="Arial" w:hAnsi="Arial" w:cs="Arial"/>
                <w:b/>
              </w:rPr>
            </w:pPr>
            <w:r w:rsidRPr="008458BB">
              <w:rPr>
                <w:rFonts w:ascii="Arial" w:hAnsi="Arial" w:cs="Arial"/>
                <w:b/>
              </w:rPr>
              <w:t xml:space="preserve">                                                                      </w:t>
            </w:r>
          </w:p>
        </w:tc>
        <w:tc>
          <w:tcPr>
            <w:tcW w:w="4740" w:type="dxa"/>
          </w:tcPr>
          <w:p w:rsidR="00A708EC" w:rsidRPr="008458BB" w:rsidRDefault="00A708EC" w:rsidP="005A3E51">
            <w:pPr>
              <w:contextualSpacing/>
              <w:jc w:val="both"/>
              <w:rPr>
                <w:rFonts w:ascii="Arial" w:hAnsi="Arial" w:cs="Arial"/>
                <w:b/>
              </w:rPr>
            </w:pPr>
            <w:r w:rsidRPr="008458BB">
              <w:rPr>
                <w:rFonts w:ascii="Arial" w:hAnsi="Arial" w:cs="Arial"/>
                <w:b/>
              </w:rPr>
              <w:t xml:space="preserve">Approved by: </w:t>
            </w:r>
          </w:p>
        </w:tc>
      </w:tr>
      <w:tr w:rsidR="00A708EC" w:rsidRPr="008458BB" w:rsidTr="00A708EC">
        <w:tc>
          <w:tcPr>
            <w:tcW w:w="5070" w:type="dxa"/>
          </w:tcPr>
          <w:p w:rsidR="00A708EC" w:rsidRPr="008458BB" w:rsidRDefault="00A708EC" w:rsidP="005A3E51">
            <w:pPr>
              <w:contextualSpacing/>
              <w:jc w:val="both"/>
              <w:rPr>
                <w:rFonts w:ascii="Arial" w:hAnsi="Arial" w:cs="Arial"/>
                <w:b/>
              </w:rPr>
            </w:pPr>
            <w:r w:rsidRPr="008458BB">
              <w:rPr>
                <w:rFonts w:ascii="Arial" w:hAnsi="Arial" w:cs="Arial"/>
                <w:b/>
              </w:rPr>
              <w:t xml:space="preserve">Date Prepared:                     </w:t>
            </w:r>
          </w:p>
          <w:p w:rsidR="00A708EC" w:rsidRPr="008458BB" w:rsidRDefault="00A708EC" w:rsidP="005A3E51">
            <w:pPr>
              <w:contextualSpacing/>
              <w:jc w:val="both"/>
              <w:rPr>
                <w:rFonts w:ascii="Arial" w:hAnsi="Arial" w:cs="Arial"/>
                <w:b/>
              </w:rPr>
            </w:pPr>
            <w:r w:rsidRPr="008458BB">
              <w:rPr>
                <w:rFonts w:ascii="Arial" w:hAnsi="Arial" w:cs="Arial"/>
                <w:b/>
              </w:rPr>
              <w:t xml:space="preserve">                                                             </w:t>
            </w:r>
          </w:p>
        </w:tc>
        <w:tc>
          <w:tcPr>
            <w:tcW w:w="4740" w:type="dxa"/>
          </w:tcPr>
          <w:p w:rsidR="00A708EC" w:rsidRPr="008458BB" w:rsidRDefault="00A708EC" w:rsidP="005A3E51">
            <w:pPr>
              <w:contextualSpacing/>
              <w:jc w:val="both"/>
              <w:rPr>
                <w:rFonts w:ascii="Arial" w:hAnsi="Arial" w:cs="Arial"/>
                <w:b/>
              </w:rPr>
            </w:pPr>
            <w:r w:rsidRPr="008458BB">
              <w:rPr>
                <w:rFonts w:ascii="Arial" w:hAnsi="Arial" w:cs="Arial"/>
                <w:b/>
              </w:rPr>
              <w:t>Date Approved:</w:t>
            </w:r>
          </w:p>
        </w:tc>
      </w:tr>
    </w:tbl>
    <w:p w:rsidR="009C67B5" w:rsidRPr="008458BB" w:rsidRDefault="009C67B5" w:rsidP="005A3E51">
      <w:pPr>
        <w:contextualSpacing/>
        <w:jc w:val="both"/>
        <w:rPr>
          <w:rFonts w:ascii="Arial" w:hAnsi="Arial" w:cs="Arial"/>
          <w:b/>
        </w:rPr>
      </w:pPr>
    </w:p>
    <w:p w:rsidR="00482BF2" w:rsidRPr="008458BB" w:rsidRDefault="00482BF2">
      <w:pPr>
        <w:rPr>
          <w:rFonts w:ascii="Arial" w:hAnsi="Arial" w:cs="Arial"/>
          <w:b/>
        </w:rPr>
      </w:pPr>
      <w:r w:rsidRPr="008458BB">
        <w:rPr>
          <w:rFonts w:ascii="Arial" w:hAnsi="Arial" w:cs="Arial"/>
          <w:b/>
        </w:rPr>
        <w:br w:type="page"/>
      </w:r>
    </w:p>
    <w:p w:rsidR="00A66CA7" w:rsidRPr="008458BB" w:rsidRDefault="00A66CA7" w:rsidP="005A3E51">
      <w:pPr>
        <w:contextualSpacing/>
        <w:jc w:val="both"/>
        <w:rPr>
          <w:rFonts w:ascii="Arial" w:hAnsi="Arial" w:cs="Arial"/>
          <w:b/>
        </w:rPr>
      </w:pPr>
      <w:r w:rsidRPr="008458BB">
        <w:rPr>
          <w:rFonts w:ascii="Arial" w:hAnsi="Arial" w:cs="Arial"/>
          <w:b/>
        </w:rPr>
        <w:lastRenderedPageBreak/>
        <w:t xml:space="preserve">Excerpts from GASB 72 for </w:t>
      </w:r>
      <w:r w:rsidR="009C4859" w:rsidRPr="008458BB">
        <w:rPr>
          <w:rFonts w:ascii="Arial" w:hAnsi="Arial" w:cs="Arial"/>
          <w:b/>
        </w:rPr>
        <w:t>Reference</w:t>
      </w:r>
      <w:r w:rsidRPr="008458BB">
        <w:rPr>
          <w:rFonts w:ascii="Arial" w:hAnsi="Arial" w:cs="Arial"/>
          <w:b/>
        </w:rPr>
        <w:t>:</w:t>
      </w:r>
    </w:p>
    <w:p w:rsidR="005A3E51" w:rsidRPr="008458BB" w:rsidRDefault="005A3E51" w:rsidP="005A3E51">
      <w:pPr>
        <w:contextualSpacing/>
        <w:jc w:val="both"/>
        <w:rPr>
          <w:rFonts w:ascii="Arial" w:hAnsi="Arial" w:cs="Arial"/>
          <w:b/>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Present Service Capacity</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65. Investments indirectly enable a government to provide services. Assets are resources with present service capacity that a government presently controls. Present service capacity refers to a government’s mission to provide services. While capital assets provide services directly, investments do not. Rather, investments are valuable to a government because investments can be used to pay for goods or services that in turn are used to provide services directly to its citizens. For example, if converted to cash, an investment may allow a government to acquire or construct a capital asset, such as a bridge. The bridge is used to provide services to the government’s constituency.</w:t>
      </w:r>
    </w:p>
    <w:p w:rsidR="00A66CA7" w:rsidRPr="008458BB" w:rsidRDefault="00A66CA7"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Held Primarily for Income or Profit</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66. A government acquires an investment with the expectation of future income or profit. Evidence that a government holds an asset for income or profit also may be found in the fund that reports the asset. For example, income producing real property in a pension plan suggests that the asset is held primarily for income or profit.</w:t>
      </w:r>
    </w:p>
    <w:p w:rsidR="00A66CA7" w:rsidRPr="008458BB" w:rsidRDefault="00A66CA7"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Present Service Capacity Based Solely on an Asset’s Ability to Generate Cash or to Be Sold to Generate Cash</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67. Certain financial instruments may generate cash to finance the provision of services. However, the fact that a financial instrument generates cash does not, in itself, mean that it is an investment. For example, mortgage loans are not investments if the loans arise from a government’s program that extends financing to first-time homebuyers. The present service capacity of the loans is not based solely on the loans’ ability to generate cash.</w:t>
      </w:r>
    </w:p>
    <w:p w:rsidR="00A66CA7" w:rsidRPr="008458BB" w:rsidRDefault="00A66CA7"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Purpose Determined by a Government at Acquisition</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68. The determination of whether an asset is held primarily for the purpose of income or profit or whether its present service capacity is based solely on its ability to generate cash or to be sold to generate cash is based on actions by a government’s management at acquisition. Once the government determines whether the asset is an investment or another type of asset, the classification should be retained for financial reporting purposes, even if the government’s usage of the asset changes over time. For example, an asset that is initially reported as a capital asset and later is held for sale should not be reclassified as an investment.</w:t>
      </w:r>
    </w:p>
    <w:p w:rsidR="005A3E51" w:rsidRPr="008458BB" w:rsidRDefault="005A3E51"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Definition of an Investment</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B43. In conjunction with its deliberations regarding fair value, the Board evaluated the definition of an investment. The Board believes that a government acquires an investment asset primarily for future income or profit and the asset’s present service capacity is based solely on its ability to generate cash or to be sold to generate cash.</w:t>
      </w:r>
    </w:p>
    <w:p w:rsidR="00A66CA7" w:rsidRPr="008458BB" w:rsidRDefault="00A66CA7"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Held Primarily for Income or Profit</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B45. The explanation of the definition of an investment states that “a government acquires an investment with the expectation of future income or profit” (paragraph 66 of this Statement; emphasis added). A respondent to the Exposure Draft questioned whether this language implies that an asset should be reclassified if the purpose of holding the asset changes from the time of acquisition. The respondent also requested that the Board clarify whether the expectation of income or profit is determined only at acquisition of the asset. In the Board’s view, when a government acquires an asset, it should use the definition of an investment to determine whether the asset meets that definition and, therefore, whether it should be classified as an investment. Once the determination is made at the time of acquisition, the classification of the asset should carry forward as long as the asset is held by the government regardless of any changes in management’s usage of the asset.</w:t>
      </w:r>
    </w:p>
    <w:p w:rsidR="00A66CA7" w:rsidRPr="008458BB" w:rsidRDefault="00A66CA7" w:rsidP="00A66CA7">
      <w:pPr>
        <w:autoSpaceDE w:val="0"/>
        <w:autoSpaceDN w:val="0"/>
        <w:adjustRightInd w:val="0"/>
        <w:spacing w:after="0" w:line="240" w:lineRule="auto"/>
        <w:rPr>
          <w:rFonts w:ascii="Arial" w:hAnsi="Arial" w:cs="Arial"/>
        </w:rPr>
      </w:pPr>
    </w:p>
    <w:p w:rsidR="005A3E51" w:rsidRPr="008458BB" w:rsidRDefault="005A3E51"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b/>
        </w:rPr>
      </w:pPr>
      <w:r w:rsidRPr="008458BB">
        <w:rPr>
          <w:rFonts w:ascii="Arial" w:hAnsi="Arial" w:cs="Arial"/>
          <w:b/>
        </w:rPr>
        <w:t>Investments or Capital Assets</w:t>
      </w: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B46. Some respondents to the Preliminary Views were concerned that an asset could simultaneously meet the existing definition of a capital asset and the definition of an investment. In paragraph 19 of Statement 34, as amended, capital assets are defined as “land, improvements to land, easements, buildings, building improvements, vehicles, machinery, equipment, works of art and historical treasures, infrastructure, and all other tangible or intangible assets that are used in operations and that have initial useful lives extending beyond a single reporting period.” An example of a type of tangible asset that could be classified as a capital asset and an investment at the same time is an apartment building held for income by a pension plan or an endowment. In the Board’s view, for the asset in that example to meet the definition of a capital asset and the definition of an investment simultaneously, it would require one to believe that a pension plan or endowment’s operation is characterized as managing an apartment building. However, different governments holding similar assets may arrive at different classifications based on the usage of the asset and the purpose of the government. For example, a warehouse used by a public transit district to store vehicles and equipment would be classified as a capital asset for the district. A similar warehouse held by a pension plan as income producing property that is rented to a private party would be classified as an investment.</w:t>
      </w:r>
    </w:p>
    <w:p w:rsidR="00A66CA7" w:rsidRPr="008458BB" w:rsidRDefault="00A66CA7" w:rsidP="00A66CA7">
      <w:pPr>
        <w:autoSpaceDE w:val="0"/>
        <w:autoSpaceDN w:val="0"/>
        <w:adjustRightInd w:val="0"/>
        <w:spacing w:after="0" w:line="240" w:lineRule="auto"/>
        <w:rPr>
          <w:rFonts w:ascii="Arial" w:hAnsi="Arial" w:cs="Arial"/>
        </w:rPr>
      </w:pPr>
    </w:p>
    <w:p w:rsidR="00A66CA7" w:rsidRPr="008458BB" w:rsidRDefault="00A66CA7" w:rsidP="00A66CA7">
      <w:pPr>
        <w:autoSpaceDE w:val="0"/>
        <w:autoSpaceDN w:val="0"/>
        <w:adjustRightInd w:val="0"/>
        <w:spacing w:after="0" w:line="240" w:lineRule="auto"/>
        <w:rPr>
          <w:rFonts w:ascii="Arial" w:hAnsi="Arial" w:cs="Arial"/>
        </w:rPr>
      </w:pPr>
      <w:r w:rsidRPr="008458BB">
        <w:rPr>
          <w:rFonts w:ascii="Arial" w:hAnsi="Arial" w:cs="Arial"/>
        </w:rPr>
        <w:t>B47. Based on comments received from respondents to the Preliminary Views, the Board considered the notion of a “mixed-use” or “multi-use” asset. An example of a mixed-use asset is a city hall in a downtown area, in which the first floor is rented to retail stores by the city to generate rental income, and the remainder of the building is occupied by the city for its day-to-day operations. Some respondents believe that a mixed-use asset meets the definition of both a capital asset and an investment simultaneously. In the Board’s view, the application of unit of account should be applied to address this issue. First, the city would determine at initial recognition of the building whether the unit of account is one asset (the entire building) or two assets (the government space and the rental space). Then, the city would determine whether the asset(s) recognized should be classified as a capital asset or an investment. Furthermore, the Board concluded that the city should maintain the classification made at the acquisition of the asset throughout its life. That is, if at acquisition, the city determines that the entire building is one unit of account and a capital asset, the classification should continue for financial reporting purposes even if the city later decides to rent an additional portion of the building. While the space rented is used to generate income, the primary purpose of the building, established at acquisition, is to provide office space for the city.</w:t>
      </w:r>
    </w:p>
    <w:p w:rsidR="00A66CA7" w:rsidRPr="008458BB" w:rsidRDefault="00A66CA7" w:rsidP="00E064D2">
      <w:pPr>
        <w:contextualSpacing/>
        <w:jc w:val="both"/>
        <w:rPr>
          <w:rFonts w:ascii="Arial" w:hAnsi="Arial" w:cs="Arial"/>
        </w:rPr>
      </w:pPr>
    </w:p>
    <w:sectPr w:rsidR="00A66CA7" w:rsidRPr="008458BB" w:rsidSect="00ED6204">
      <w:headerReference w:type="default" r:id="rId9"/>
      <w:footerReference w:type="default" r:id="rId10"/>
      <w:headerReference w:type="first" r:id="rId11"/>
      <w:pgSz w:w="12240" w:h="15840"/>
      <w:pgMar w:top="1440" w:right="900" w:bottom="1440" w:left="10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46" w:rsidRDefault="006F6146" w:rsidP="003B0AC5">
      <w:pPr>
        <w:spacing w:after="0" w:line="240" w:lineRule="auto"/>
      </w:pPr>
      <w:r>
        <w:separator/>
      </w:r>
    </w:p>
  </w:endnote>
  <w:endnote w:type="continuationSeparator" w:id="0">
    <w:p w:rsidR="006F6146" w:rsidRDefault="006F6146" w:rsidP="003B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89554"/>
      <w:docPartObj>
        <w:docPartGallery w:val="Page Numbers (Bottom of Page)"/>
        <w:docPartUnique/>
      </w:docPartObj>
    </w:sdtPr>
    <w:sdtEndPr>
      <w:rPr>
        <w:noProof/>
      </w:rPr>
    </w:sdtEndPr>
    <w:sdtContent>
      <w:p w:rsidR="006971CF" w:rsidRDefault="006971CF">
        <w:pPr>
          <w:pStyle w:val="Footer"/>
          <w:jc w:val="center"/>
        </w:pPr>
        <w:r>
          <w:fldChar w:fldCharType="begin"/>
        </w:r>
        <w:r>
          <w:instrText xml:space="preserve"> PAGE   \* MERGEFORMAT </w:instrText>
        </w:r>
        <w:r>
          <w:fldChar w:fldCharType="separate"/>
        </w:r>
        <w:r w:rsidR="00166495">
          <w:rPr>
            <w:noProof/>
          </w:rPr>
          <w:t>1</w:t>
        </w:r>
        <w:r>
          <w:rPr>
            <w:noProof/>
          </w:rPr>
          <w:fldChar w:fldCharType="end"/>
        </w:r>
      </w:p>
    </w:sdtContent>
  </w:sdt>
  <w:p w:rsidR="006971CF" w:rsidRDefault="00697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46" w:rsidRDefault="006F6146" w:rsidP="003B0AC5">
      <w:pPr>
        <w:spacing w:after="0" w:line="240" w:lineRule="auto"/>
      </w:pPr>
      <w:r>
        <w:separator/>
      </w:r>
    </w:p>
  </w:footnote>
  <w:footnote w:type="continuationSeparator" w:id="0">
    <w:p w:rsidR="006F6146" w:rsidRDefault="006F6146" w:rsidP="003B0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FB" w:rsidRDefault="00213F78" w:rsidP="00C91951">
    <w:pPr>
      <w:jc w:val="right"/>
      <w:rPr>
        <w:rFonts w:ascii="Times New Roman" w:hAnsi="Times New Roman" w:cs="Times New Roman"/>
        <w:b/>
      </w:rPr>
    </w:pPr>
    <w:r>
      <w:rPr>
        <w:noProof/>
        <w:sz w:val="36"/>
        <w:szCs w:val="36"/>
      </w:rPr>
      <w:drawing>
        <wp:anchor distT="0" distB="0" distL="114300" distR="114300" simplePos="0" relativeHeight="251658240" behindDoc="1" locked="0" layoutInCell="1" allowOverlap="1" wp14:anchorId="22EAE479" wp14:editId="284BA889">
          <wp:simplePos x="0" y="0"/>
          <wp:positionH relativeFrom="column">
            <wp:posOffset>5318125</wp:posOffset>
          </wp:positionH>
          <wp:positionV relativeFrom="paragraph">
            <wp:posOffset>-104775</wp:posOffset>
          </wp:positionV>
          <wp:extent cx="977900" cy="977900"/>
          <wp:effectExtent l="0" t="0" r="0" b="0"/>
          <wp:wrapThrough wrapText="right">
            <wp:wrapPolygon edited="0">
              <wp:start x="0" y="0"/>
              <wp:lineTo x="0" y="21039"/>
              <wp:lineTo x="21039" y="21039"/>
              <wp:lineTo x="21039" y="0"/>
              <wp:lineTo x="0" y="0"/>
            </wp:wrapPolygon>
          </wp:wrapThrough>
          <wp:docPr id="1" name="Picture 1" descr="C:\Documents and Settings\ncapell\My Documents\My Pictures\uc5-5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capell\My Documents\My Pictures\uc5-5x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E08FB" w:rsidRPr="00430401" w:rsidRDefault="00391EB4" w:rsidP="00430401">
    <w:pPr>
      <w:tabs>
        <w:tab w:val="left" w:pos="720"/>
        <w:tab w:val="left" w:pos="1440"/>
        <w:tab w:val="left" w:pos="2160"/>
        <w:tab w:val="left" w:pos="2880"/>
        <w:tab w:val="left" w:pos="3600"/>
        <w:tab w:val="left" w:pos="4320"/>
        <w:tab w:val="left" w:pos="5040"/>
        <w:tab w:val="left" w:pos="5760"/>
        <w:tab w:val="left" w:pos="6480"/>
        <w:tab w:val="left" w:pos="7200"/>
        <w:tab w:val="right" w:pos="9360"/>
      </w:tabs>
      <w:jc w:val="both"/>
      <w:rPr>
        <w:rFonts w:ascii="Times New Roman" w:hAnsi="Times New Roman" w:cs="Times New Roman"/>
        <w:b/>
        <w:sz w:val="24"/>
      </w:rPr>
    </w:pPr>
    <w:r>
      <w:rPr>
        <w:rFonts w:ascii="Times New Roman" w:hAnsi="Times New Roman" w:cs="Times New Roman"/>
        <w:b/>
        <w:sz w:val="24"/>
      </w:rPr>
      <w:t>GASB 72</w:t>
    </w:r>
    <w:r w:rsidR="00CC5D73">
      <w:rPr>
        <w:rFonts w:ascii="Times New Roman" w:hAnsi="Times New Roman" w:cs="Times New Roman"/>
        <w:b/>
        <w:sz w:val="24"/>
      </w:rPr>
      <w:t xml:space="preserve"> Property</w:t>
    </w:r>
    <w:r>
      <w:rPr>
        <w:rFonts w:ascii="Times New Roman" w:hAnsi="Times New Roman" w:cs="Times New Roman"/>
        <w:b/>
        <w:sz w:val="24"/>
      </w:rPr>
      <w:t xml:space="preserve"> Checklist</w:t>
    </w:r>
    <w:r w:rsidR="00430401">
      <w:rPr>
        <w:rFonts w:ascii="Times New Roman" w:hAnsi="Times New Roman" w:cs="Times New Roman"/>
        <w:b/>
        <w:sz w:val="24"/>
      </w:rPr>
      <w:t xml:space="preserve">: </w:t>
    </w:r>
    <w:r w:rsidR="00430401" w:rsidRPr="00430401">
      <w:rPr>
        <w:rFonts w:ascii="Times New Roman" w:hAnsi="Times New Roman" w:cs="Times New Roman"/>
        <w:b/>
        <w:sz w:val="24"/>
      </w:rPr>
      <w:t>Inves</w:t>
    </w:r>
    <w:r w:rsidR="00430401">
      <w:rPr>
        <w:rFonts w:ascii="Times New Roman" w:hAnsi="Times New Roman" w:cs="Times New Roman"/>
        <w:b/>
        <w:sz w:val="24"/>
      </w:rPr>
      <w:t>tment vs. Capital Asset</w:t>
    </w:r>
    <w:r w:rsidR="00E42D3B">
      <w:rPr>
        <w:rFonts w:ascii="Times New Roman" w:hAnsi="Times New Roman" w:cs="Times New Roman"/>
        <w:b/>
        <w:sz w:val="24"/>
      </w:rPr>
      <w:t xml:space="preserve"> Analysis</w:t>
    </w:r>
    <w:r w:rsidR="003E08FB">
      <w:rPr>
        <w:rFonts w:asciiTheme="majorHAnsi" w:eastAsiaTheme="majorEastAsia" w:hAnsiTheme="majorHAnsi" w:cstheme="majorBidi"/>
        <w:sz w:val="32"/>
        <w:szCs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E0" w:rsidRDefault="00CF31E0" w:rsidP="00CF31E0">
    <w:pPr>
      <w:rPr>
        <w:rFonts w:ascii="Times New Roman" w:hAnsi="Times New Roman" w:cs="Times New Roman"/>
        <w:b/>
        <w:sz w:val="24"/>
      </w:rPr>
    </w:pPr>
    <w:r>
      <w:rPr>
        <w:noProof/>
        <w:sz w:val="36"/>
        <w:szCs w:val="36"/>
      </w:rPr>
      <w:drawing>
        <wp:anchor distT="0" distB="0" distL="114300" distR="114300" simplePos="0" relativeHeight="251660288" behindDoc="1" locked="0" layoutInCell="1" allowOverlap="1" wp14:anchorId="25ADAD41" wp14:editId="12DC5242">
          <wp:simplePos x="0" y="0"/>
          <wp:positionH relativeFrom="column">
            <wp:posOffset>5457825</wp:posOffset>
          </wp:positionH>
          <wp:positionV relativeFrom="paragraph">
            <wp:posOffset>-55245</wp:posOffset>
          </wp:positionV>
          <wp:extent cx="981075" cy="981075"/>
          <wp:effectExtent l="0" t="0" r="9525" b="9525"/>
          <wp:wrapThrough wrapText="bothSides">
            <wp:wrapPolygon edited="0">
              <wp:start x="0" y="0"/>
              <wp:lineTo x="0" y="21390"/>
              <wp:lineTo x="21390" y="21390"/>
              <wp:lineTo x="21390" y="0"/>
              <wp:lineTo x="0" y="0"/>
            </wp:wrapPolygon>
          </wp:wrapThrough>
          <wp:docPr id="2" name="Picture 2" descr="C:\Documents and Settings\ncapell\My Documents\My Pictures\uc5-5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capell\My Documents\My Pictures\uc5-5x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B0778" w:rsidRPr="00CF31E0" w:rsidRDefault="000052F2" w:rsidP="00CF31E0">
    <w:pPr>
      <w:rPr>
        <w:rFonts w:ascii="Times New Roman" w:hAnsi="Times New Roman" w:cs="Times New Roman"/>
        <w:b/>
      </w:rPr>
    </w:pPr>
    <w:r>
      <w:rPr>
        <w:rFonts w:ascii="Times New Roman" w:hAnsi="Times New Roman" w:cs="Times New Roman"/>
        <w:b/>
        <w:sz w:val="24"/>
      </w:rPr>
      <w:t>Issues Resolution Memo No. 80</w:t>
    </w:r>
    <w:r w:rsidR="000B0778" w:rsidRPr="00C91951">
      <w:rPr>
        <w:rFonts w:ascii="Times New Roman" w:hAnsi="Times New Roman" w:cs="Times New Roman"/>
        <w:b/>
        <w:sz w:val="24"/>
      </w:rPr>
      <w:t>-1</w:t>
    </w:r>
  </w:p>
  <w:p w:rsidR="000B0778" w:rsidRPr="00C91951" w:rsidRDefault="000B0778" w:rsidP="000B0778">
    <w:pPr>
      <w:spacing w:after="0"/>
      <w:jc w:val="both"/>
      <w:rPr>
        <w:rFonts w:ascii="Times New Roman" w:hAnsi="Times New Roman" w:cs="Times New Roman"/>
      </w:rPr>
    </w:pPr>
    <w:r w:rsidRPr="00C91951">
      <w:rPr>
        <w:rFonts w:ascii="Times New Roman" w:hAnsi="Times New Roman" w:cs="Times New Roman"/>
      </w:rPr>
      <w:t xml:space="preserve">Issued: </w:t>
    </w:r>
    <w:r w:rsidR="000052F2">
      <w:rPr>
        <w:rFonts w:ascii="Times New Roman" w:hAnsi="Times New Roman" w:cs="Times New Roman"/>
      </w:rPr>
      <w:t>January 2016</w:t>
    </w:r>
  </w:p>
  <w:p w:rsidR="000B0778" w:rsidRDefault="000B0778" w:rsidP="000B0778">
    <w:pPr>
      <w:pStyle w:val="Header"/>
      <w:pBdr>
        <w:bottom w:val="thickThinSmallGap" w:sz="24" w:space="1" w:color="622423" w:themeColor="accent2" w:themeShade="7F"/>
      </w:pBdr>
      <w:rPr>
        <w:rFonts w:asciiTheme="majorHAnsi" w:eastAsiaTheme="majorEastAsia" w:hAnsiTheme="majorHAnsi" w:cstheme="majorBidi"/>
        <w:sz w:val="32"/>
        <w:szCs w:val="32"/>
      </w:rPr>
    </w:pPr>
  </w:p>
  <w:p w:rsidR="000B0778" w:rsidRDefault="000B0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251"/>
    <w:multiLevelType w:val="hybridMultilevel"/>
    <w:tmpl w:val="4CBE9B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A94E26"/>
    <w:multiLevelType w:val="hybridMultilevel"/>
    <w:tmpl w:val="A926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37888"/>
    <w:multiLevelType w:val="hybridMultilevel"/>
    <w:tmpl w:val="3BC2F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03EE"/>
    <w:multiLevelType w:val="hybridMultilevel"/>
    <w:tmpl w:val="FC60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73977"/>
    <w:multiLevelType w:val="hybridMultilevel"/>
    <w:tmpl w:val="E488C6AC"/>
    <w:lvl w:ilvl="0" w:tplc="59CA2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F1D43"/>
    <w:multiLevelType w:val="hybridMultilevel"/>
    <w:tmpl w:val="A42CC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C07E63"/>
    <w:multiLevelType w:val="hybridMultilevel"/>
    <w:tmpl w:val="5336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157ED"/>
    <w:multiLevelType w:val="hybridMultilevel"/>
    <w:tmpl w:val="DABE4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731D"/>
    <w:multiLevelType w:val="hybridMultilevel"/>
    <w:tmpl w:val="CC78A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954CA"/>
    <w:multiLevelType w:val="hybridMultilevel"/>
    <w:tmpl w:val="3B00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45A27"/>
    <w:multiLevelType w:val="hybridMultilevel"/>
    <w:tmpl w:val="84542458"/>
    <w:lvl w:ilvl="0" w:tplc="F3B8896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5428B"/>
    <w:multiLevelType w:val="hybridMultilevel"/>
    <w:tmpl w:val="46E65290"/>
    <w:lvl w:ilvl="0" w:tplc="6C9C3C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A77445"/>
    <w:multiLevelType w:val="hybridMultilevel"/>
    <w:tmpl w:val="B17A39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62A1B"/>
    <w:multiLevelType w:val="hybridMultilevel"/>
    <w:tmpl w:val="B17A39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D7935"/>
    <w:multiLevelType w:val="hybridMultilevel"/>
    <w:tmpl w:val="FDF8D024"/>
    <w:lvl w:ilvl="0" w:tplc="1B7A9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F558BC"/>
    <w:multiLevelType w:val="hybridMultilevel"/>
    <w:tmpl w:val="5608C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B3C77"/>
    <w:multiLevelType w:val="hybridMultilevel"/>
    <w:tmpl w:val="9DFE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66CC2"/>
    <w:multiLevelType w:val="hybridMultilevel"/>
    <w:tmpl w:val="5608C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C83126"/>
    <w:multiLevelType w:val="hybridMultilevel"/>
    <w:tmpl w:val="6466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C0030"/>
    <w:multiLevelType w:val="hybridMultilevel"/>
    <w:tmpl w:val="56A21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47728"/>
    <w:multiLevelType w:val="hybridMultilevel"/>
    <w:tmpl w:val="7A98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7F17B8"/>
    <w:multiLevelType w:val="hybridMultilevel"/>
    <w:tmpl w:val="2DE06F7C"/>
    <w:lvl w:ilvl="0" w:tplc="04090005">
      <w:start w:val="1"/>
      <w:numFmt w:val="bullet"/>
      <w:lvlText w:val=""/>
      <w:lvlJc w:val="left"/>
      <w:pPr>
        <w:ind w:left="8370" w:hanging="360"/>
      </w:pPr>
      <w:rPr>
        <w:rFonts w:ascii="Wingdings" w:hAnsi="Wingdings" w:hint="default"/>
      </w:rPr>
    </w:lvl>
    <w:lvl w:ilvl="1" w:tplc="04090003">
      <w:start w:val="1"/>
      <w:numFmt w:val="bullet"/>
      <w:lvlText w:val="o"/>
      <w:lvlJc w:val="left"/>
      <w:pPr>
        <w:ind w:left="9090" w:hanging="360"/>
      </w:pPr>
      <w:rPr>
        <w:rFonts w:ascii="Courier New" w:hAnsi="Courier New" w:cs="Courier New" w:hint="default"/>
      </w:rPr>
    </w:lvl>
    <w:lvl w:ilvl="2" w:tplc="04090005">
      <w:start w:val="1"/>
      <w:numFmt w:val="bullet"/>
      <w:lvlText w:val=""/>
      <w:lvlJc w:val="left"/>
      <w:pPr>
        <w:ind w:left="9810" w:hanging="360"/>
      </w:pPr>
      <w:rPr>
        <w:rFonts w:ascii="Wingdings" w:hAnsi="Wingdings" w:hint="default"/>
      </w:rPr>
    </w:lvl>
    <w:lvl w:ilvl="3" w:tplc="04090001">
      <w:start w:val="1"/>
      <w:numFmt w:val="bullet"/>
      <w:lvlText w:val=""/>
      <w:lvlJc w:val="left"/>
      <w:pPr>
        <w:ind w:left="10530" w:hanging="360"/>
      </w:pPr>
      <w:rPr>
        <w:rFonts w:ascii="Symbol" w:hAnsi="Symbol" w:hint="default"/>
      </w:rPr>
    </w:lvl>
    <w:lvl w:ilvl="4" w:tplc="04090003">
      <w:start w:val="1"/>
      <w:numFmt w:val="bullet"/>
      <w:lvlText w:val="o"/>
      <w:lvlJc w:val="left"/>
      <w:pPr>
        <w:ind w:left="11250" w:hanging="360"/>
      </w:pPr>
      <w:rPr>
        <w:rFonts w:ascii="Courier New" w:hAnsi="Courier New" w:cs="Courier New" w:hint="default"/>
      </w:rPr>
    </w:lvl>
    <w:lvl w:ilvl="5" w:tplc="04090005">
      <w:start w:val="1"/>
      <w:numFmt w:val="bullet"/>
      <w:lvlText w:val=""/>
      <w:lvlJc w:val="left"/>
      <w:pPr>
        <w:ind w:left="11970" w:hanging="360"/>
      </w:pPr>
      <w:rPr>
        <w:rFonts w:ascii="Wingdings" w:hAnsi="Wingdings" w:hint="default"/>
      </w:rPr>
    </w:lvl>
    <w:lvl w:ilvl="6" w:tplc="04090001">
      <w:start w:val="1"/>
      <w:numFmt w:val="bullet"/>
      <w:lvlText w:val=""/>
      <w:lvlJc w:val="left"/>
      <w:pPr>
        <w:ind w:left="12690" w:hanging="360"/>
      </w:pPr>
      <w:rPr>
        <w:rFonts w:ascii="Symbol" w:hAnsi="Symbol" w:hint="default"/>
      </w:rPr>
    </w:lvl>
    <w:lvl w:ilvl="7" w:tplc="04090003">
      <w:start w:val="1"/>
      <w:numFmt w:val="bullet"/>
      <w:lvlText w:val="o"/>
      <w:lvlJc w:val="left"/>
      <w:pPr>
        <w:ind w:left="13410" w:hanging="360"/>
      </w:pPr>
      <w:rPr>
        <w:rFonts w:ascii="Courier New" w:hAnsi="Courier New" w:cs="Courier New" w:hint="default"/>
      </w:rPr>
    </w:lvl>
    <w:lvl w:ilvl="8" w:tplc="04090005">
      <w:start w:val="1"/>
      <w:numFmt w:val="bullet"/>
      <w:lvlText w:val=""/>
      <w:lvlJc w:val="left"/>
      <w:pPr>
        <w:ind w:left="14130" w:hanging="360"/>
      </w:pPr>
      <w:rPr>
        <w:rFonts w:ascii="Wingdings" w:hAnsi="Wingdings" w:hint="default"/>
      </w:rPr>
    </w:lvl>
  </w:abstractNum>
  <w:abstractNum w:abstractNumId="22">
    <w:nsid w:val="73955BDB"/>
    <w:multiLevelType w:val="hybridMultilevel"/>
    <w:tmpl w:val="4CB66BDE"/>
    <w:lvl w:ilvl="0" w:tplc="0CAEF3B4">
      <w:start w:val="1"/>
      <w:numFmt w:val="bullet"/>
      <w:lvlText w:val=""/>
      <w:lvlJc w:val="left"/>
      <w:pPr>
        <w:tabs>
          <w:tab w:val="num" w:pos="876"/>
        </w:tabs>
        <w:ind w:left="876" w:hanging="360"/>
      </w:pPr>
      <w:rPr>
        <w:rFonts w:ascii="Wingdings" w:hAnsi="Wingdings" w:hint="default"/>
      </w:rPr>
    </w:lvl>
    <w:lvl w:ilvl="1" w:tplc="04090003">
      <w:start w:val="1"/>
      <w:numFmt w:val="bullet"/>
      <w:lvlText w:val="o"/>
      <w:lvlJc w:val="left"/>
      <w:pPr>
        <w:tabs>
          <w:tab w:val="num" w:pos="1596"/>
        </w:tabs>
        <w:ind w:left="1596" w:hanging="360"/>
      </w:pPr>
      <w:rPr>
        <w:rFonts w:ascii="Courier New" w:hAnsi="Courier New" w:cs="Courier New" w:hint="default"/>
      </w:rPr>
    </w:lvl>
    <w:lvl w:ilvl="2" w:tplc="04090005">
      <w:start w:val="1"/>
      <w:numFmt w:val="bullet"/>
      <w:lvlText w:val=""/>
      <w:lvlJc w:val="left"/>
      <w:pPr>
        <w:tabs>
          <w:tab w:val="num" w:pos="2316"/>
        </w:tabs>
        <w:ind w:left="2316" w:hanging="360"/>
      </w:pPr>
      <w:rPr>
        <w:rFonts w:ascii="Wingdings" w:hAnsi="Wingdings" w:hint="default"/>
      </w:rPr>
    </w:lvl>
    <w:lvl w:ilvl="3" w:tplc="04090001">
      <w:start w:val="1"/>
      <w:numFmt w:val="bullet"/>
      <w:lvlText w:val=""/>
      <w:lvlJc w:val="left"/>
      <w:pPr>
        <w:tabs>
          <w:tab w:val="num" w:pos="3036"/>
        </w:tabs>
        <w:ind w:left="3036" w:hanging="360"/>
      </w:pPr>
      <w:rPr>
        <w:rFonts w:ascii="Symbol" w:hAnsi="Symbol" w:hint="default"/>
      </w:rPr>
    </w:lvl>
    <w:lvl w:ilvl="4" w:tplc="04090003">
      <w:start w:val="1"/>
      <w:numFmt w:val="bullet"/>
      <w:lvlText w:val="o"/>
      <w:lvlJc w:val="left"/>
      <w:pPr>
        <w:tabs>
          <w:tab w:val="num" w:pos="3756"/>
        </w:tabs>
        <w:ind w:left="3756" w:hanging="360"/>
      </w:pPr>
      <w:rPr>
        <w:rFonts w:ascii="Courier New" w:hAnsi="Courier New" w:cs="Courier New" w:hint="default"/>
      </w:rPr>
    </w:lvl>
    <w:lvl w:ilvl="5" w:tplc="04090005">
      <w:start w:val="1"/>
      <w:numFmt w:val="bullet"/>
      <w:lvlText w:val=""/>
      <w:lvlJc w:val="left"/>
      <w:pPr>
        <w:tabs>
          <w:tab w:val="num" w:pos="4476"/>
        </w:tabs>
        <w:ind w:left="4476" w:hanging="360"/>
      </w:pPr>
      <w:rPr>
        <w:rFonts w:ascii="Wingdings" w:hAnsi="Wingdings" w:hint="default"/>
      </w:rPr>
    </w:lvl>
    <w:lvl w:ilvl="6" w:tplc="04090001">
      <w:start w:val="1"/>
      <w:numFmt w:val="bullet"/>
      <w:lvlText w:val=""/>
      <w:lvlJc w:val="left"/>
      <w:pPr>
        <w:tabs>
          <w:tab w:val="num" w:pos="5196"/>
        </w:tabs>
        <w:ind w:left="5196" w:hanging="360"/>
      </w:pPr>
      <w:rPr>
        <w:rFonts w:ascii="Symbol" w:hAnsi="Symbol" w:hint="default"/>
      </w:rPr>
    </w:lvl>
    <w:lvl w:ilvl="7" w:tplc="04090003">
      <w:start w:val="1"/>
      <w:numFmt w:val="bullet"/>
      <w:lvlText w:val="o"/>
      <w:lvlJc w:val="left"/>
      <w:pPr>
        <w:tabs>
          <w:tab w:val="num" w:pos="5916"/>
        </w:tabs>
        <w:ind w:left="5916" w:hanging="360"/>
      </w:pPr>
      <w:rPr>
        <w:rFonts w:ascii="Courier New" w:hAnsi="Courier New" w:cs="Courier New" w:hint="default"/>
      </w:rPr>
    </w:lvl>
    <w:lvl w:ilvl="8" w:tplc="04090005">
      <w:start w:val="1"/>
      <w:numFmt w:val="bullet"/>
      <w:lvlText w:val=""/>
      <w:lvlJc w:val="left"/>
      <w:pPr>
        <w:tabs>
          <w:tab w:val="num" w:pos="6636"/>
        </w:tabs>
        <w:ind w:left="6636" w:hanging="360"/>
      </w:pPr>
      <w:rPr>
        <w:rFonts w:ascii="Wingdings" w:hAnsi="Wingdings" w:hint="default"/>
      </w:rPr>
    </w:lvl>
  </w:abstractNum>
  <w:abstractNum w:abstractNumId="23">
    <w:nsid w:val="7829065E"/>
    <w:multiLevelType w:val="hybridMultilevel"/>
    <w:tmpl w:val="D87ED71C"/>
    <w:lvl w:ilvl="0" w:tplc="F3B8896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16AE0"/>
    <w:multiLevelType w:val="hybridMultilevel"/>
    <w:tmpl w:val="A170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670CFD"/>
    <w:multiLevelType w:val="hybridMultilevel"/>
    <w:tmpl w:val="6526D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0"/>
  </w:num>
  <w:num w:numId="5">
    <w:abstractNumId w:val="14"/>
  </w:num>
  <w:num w:numId="6">
    <w:abstractNumId w:val="6"/>
  </w:num>
  <w:num w:numId="7">
    <w:abstractNumId w:val="16"/>
  </w:num>
  <w:num w:numId="8">
    <w:abstractNumId w:val="19"/>
  </w:num>
  <w:num w:numId="9">
    <w:abstractNumId w:val="17"/>
  </w:num>
  <w:num w:numId="10">
    <w:abstractNumId w:val="15"/>
  </w:num>
  <w:num w:numId="11">
    <w:abstractNumId w:val="4"/>
  </w:num>
  <w:num w:numId="12">
    <w:abstractNumId w:val="18"/>
  </w:num>
  <w:num w:numId="13">
    <w:abstractNumId w:val="1"/>
  </w:num>
  <w:num w:numId="14">
    <w:abstractNumId w:val="13"/>
  </w:num>
  <w:num w:numId="15">
    <w:abstractNumId w:val="9"/>
  </w:num>
  <w:num w:numId="16">
    <w:abstractNumId w:val="12"/>
  </w:num>
  <w:num w:numId="17">
    <w:abstractNumId w:val="3"/>
  </w:num>
  <w:num w:numId="18">
    <w:abstractNumId w:val="25"/>
  </w:num>
  <w:num w:numId="19">
    <w:abstractNumId w:val="7"/>
  </w:num>
  <w:num w:numId="20">
    <w:abstractNumId w:val="23"/>
  </w:num>
  <w:num w:numId="21">
    <w:abstractNumId w:val="24"/>
  </w:num>
  <w:num w:numId="22">
    <w:abstractNumId w:val="5"/>
  </w:num>
  <w:num w:numId="23">
    <w:abstractNumId w:val="10"/>
  </w:num>
  <w:num w:numId="24">
    <w:abstractNumId w:val="8"/>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CC"/>
    <w:rsid w:val="00001DEF"/>
    <w:rsid w:val="000020B5"/>
    <w:rsid w:val="00004CB8"/>
    <w:rsid w:val="000052F2"/>
    <w:rsid w:val="0001662D"/>
    <w:rsid w:val="000172EA"/>
    <w:rsid w:val="000232A4"/>
    <w:rsid w:val="000352D6"/>
    <w:rsid w:val="00043F63"/>
    <w:rsid w:val="00050FD8"/>
    <w:rsid w:val="00074F0B"/>
    <w:rsid w:val="00076817"/>
    <w:rsid w:val="000778E1"/>
    <w:rsid w:val="0008335A"/>
    <w:rsid w:val="00086437"/>
    <w:rsid w:val="00095EB8"/>
    <w:rsid w:val="00097A91"/>
    <w:rsid w:val="000A24E2"/>
    <w:rsid w:val="000A4F8B"/>
    <w:rsid w:val="000B0149"/>
    <w:rsid w:val="000B0778"/>
    <w:rsid w:val="000B0F38"/>
    <w:rsid w:val="000C70F3"/>
    <w:rsid w:val="000C75C5"/>
    <w:rsid w:val="000D2363"/>
    <w:rsid w:val="000D5262"/>
    <w:rsid w:val="000E0528"/>
    <w:rsid w:val="000E75FC"/>
    <w:rsid w:val="0010283B"/>
    <w:rsid w:val="0010332F"/>
    <w:rsid w:val="00104AAF"/>
    <w:rsid w:val="001116D9"/>
    <w:rsid w:val="001138ED"/>
    <w:rsid w:val="00121853"/>
    <w:rsid w:val="00137DAF"/>
    <w:rsid w:val="00143024"/>
    <w:rsid w:val="00147909"/>
    <w:rsid w:val="00154D32"/>
    <w:rsid w:val="00166495"/>
    <w:rsid w:val="001779DE"/>
    <w:rsid w:val="00181363"/>
    <w:rsid w:val="00191084"/>
    <w:rsid w:val="001969E3"/>
    <w:rsid w:val="001A1D5E"/>
    <w:rsid w:val="001C5847"/>
    <w:rsid w:val="001C6B85"/>
    <w:rsid w:val="001C7459"/>
    <w:rsid w:val="001D7F77"/>
    <w:rsid w:val="001F2883"/>
    <w:rsid w:val="002005ED"/>
    <w:rsid w:val="00203F0A"/>
    <w:rsid w:val="00213F78"/>
    <w:rsid w:val="002210EB"/>
    <w:rsid w:val="00231BD9"/>
    <w:rsid w:val="00232613"/>
    <w:rsid w:val="002375A8"/>
    <w:rsid w:val="002417D4"/>
    <w:rsid w:val="00243FAD"/>
    <w:rsid w:val="002644BC"/>
    <w:rsid w:val="00267381"/>
    <w:rsid w:val="00275F4D"/>
    <w:rsid w:val="002A5407"/>
    <w:rsid w:val="002A7356"/>
    <w:rsid w:val="002B0C05"/>
    <w:rsid w:val="002B17B1"/>
    <w:rsid w:val="002B23CB"/>
    <w:rsid w:val="002B43EC"/>
    <w:rsid w:val="002B49F9"/>
    <w:rsid w:val="002C3BA2"/>
    <w:rsid w:val="002D4B49"/>
    <w:rsid w:val="002D6890"/>
    <w:rsid w:val="002D6B81"/>
    <w:rsid w:val="002D7B16"/>
    <w:rsid w:val="002D7D41"/>
    <w:rsid w:val="002E3347"/>
    <w:rsid w:val="002E3E47"/>
    <w:rsid w:val="002F238B"/>
    <w:rsid w:val="00306814"/>
    <w:rsid w:val="00325232"/>
    <w:rsid w:val="0036077E"/>
    <w:rsid w:val="00365FBB"/>
    <w:rsid w:val="00372B12"/>
    <w:rsid w:val="00375952"/>
    <w:rsid w:val="0037621C"/>
    <w:rsid w:val="0038033A"/>
    <w:rsid w:val="003854CF"/>
    <w:rsid w:val="00391EB4"/>
    <w:rsid w:val="003959DB"/>
    <w:rsid w:val="00395D71"/>
    <w:rsid w:val="003A033E"/>
    <w:rsid w:val="003A45C7"/>
    <w:rsid w:val="003B0AC5"/>
    <w:rsid w:val="003B7BC2"/>
    <w:rsid w:val="003C2569"/>
    <w:rsid w:val="003C3A7D"/>
    <w:rsid w:val="003E08FB"/>
    <w:rsid w:val="003F504C"/>
    <w:rsid w:val="003F5841"/>
    <w:rsid w:val="00402393"/>
    <w:rsid w:val="00404A2A"/>
    <w:rsid w:val="00404BFF"/>
    <w:rsid w:val="00406558"/>
    <w:rsid w:val="00412D20"/>
    <w:rsid w:val="00420611"/>
    <w:rsid w:val="00422CFA"/>
    <w:rsid w:val="0042527C"/>
    <w:rsid w:val="00430401"/>
    <w:rsid w:val="00431ECC"/>
    <w:rsid w:val="00437494"/>
    <w:rsid w:val="004459B0"/>
    <w:rsid w:val="00451C95"/>
    <w:rsid w:val="00457E5A"/>
    <w:rsid w:val="004618E7"/>
    <w:rsid w:val="00463C46"/>
    <w:rsid w:val="004721A4"/>
    <w:rsid w:val="00482BF2"/>
    <w:rsid w:val="00482FBB"/>
    <w:rsid w:val="004836E7"/>
    <w:rsid w:val="00485353"/>
    <w:rsid w:val="00491E02"/>
    <w:rsid w:val="004A104C"/>
    <w:rsid w:val="004B2EEB"/>
    <w:rsid w:val="004B3F0B"/>
    <w:rsid w:val="004D1820"/>
    <w:rsid w:val="004D5D15"/>
    <w:rsid w:val="004E108D"/>
    <w:rsid w:val="004E3994"/>
    <w:rsid w:val="004F086D"/>
    <w:rsid w:val="004F132F"/>
    <w:rsid w:val="004F21E3"/>
    <w:rsid w:val="004F2F79"/>
    <w:rsid w:val="004F32CC"/>
    <w:rsid w:val="004F353C"/>
    <w:rsid w:val="004F4D07"/>
    <w:rsid w:val="004F5098"/>
    <w:rsid w:val="00514694"/>
    <w:rsid w:val="005246A3"/>
    <w:rsid w:val="00535BD5"/>
    <w:rsid w:val="00545D27"/>
    <w:rsid w:val="0057367F"/>
    <w:rsid w:val="0057679F"/>
    <w:rsid w:val="00577DD8"/>
    <w:rsid w:val="0058460C"/>
    <w:rsid w:val="005A3E51"/>
    <w:rsid w:val="005A5B13"/>
    <w:rsid w:val="005B0F46"/>
    <w:rsid w:val="005B3341"/>
    <w:rsid w:val="005D3989"/>
    <w:rsid w:val="005E77D9"/>
    <w:rsid w:val="005F651F"/>
    <w:rsid w:val="005F7F60"/>
    <w:rsid w:val="006011EC"/>
    <w:rsid w:val="00605968"/>
    <w:rsid w:val="00605EB6"/>
    <w:rsid w:val="00613F99"/>
    <w:rsid w:val="0061706E"/>
    <w:rsid w:val="00634668"/>
    <w:rsid w:val="00646696"/>
    <w:rsid w:val="00651D08"/>
    <w:rsid w:val="00652B4C"/>
    <w:rsid w:val="0065629E"/>
    <w:rsid w:val="00660C68"/>
    <w:rsid w:val="00670352"/>
    <w:rsid w:val="00686E0B"/>
    <w:rsid w:val="00687547"/>
    <w:rsid w:val="00690AA4"/>
    <w:rsid w:val="00693022"/>
    <w:rsid w:val="00693512"/>
    <w:rsid w:val="006971CF"/>
    <w:rsid w:val="006971D2"/>
    <w:rsid w:val="006A0BC6"/>
    <w:rsid w:val="006A0F0D"/>
    <w:rsid w:val="006B1370"/>
    <w:rsid w:val="006B55DD"/>
    <w:rsid w:val="006B62A0"/>
    <w:rsid w:val="006C1761"/>
    <w:rsid w:val="006C6CFC"/>
    <w:rsid w:val="006D2CE8"/>
    <w:rsid w:val="006D477F"/>
    <w:rsid w:val="006D51E6"/>
    <w:rsid w:val="006D6163"/>
    <w:rsid w:val="006D73B3"/>
    <w:rsid w:val="006F1B77"/>
    <w:rsid w:val="006F6146"/>
    <w:rsid w:val="00700E3C"/>
    <w:rsid w:val="00702345"/>
    <w:rsid w:val="00702587"/>
    <w:rsid w:val="007053AB"/>
    <w:rsid w:val="007062C4"/>
    <w:rsid w:val="007155A6"/>
    <w:rsid w:val="00721E77"/>
    <w:rsid w:val="00730313"/>
    <w:rsid w:val="0073598C"/>
    <w:rsid w:val="00736EC3"/>
    <w:rsid w:val="00743DDD"/>
    <w:rsid w:val="00750803"/>
    <w:rsid w:val="007554ED"/>
    <w:rsid w:val="0075695F"/>
    <w:rsid w:val="00762E30"/>
    <w:rsid w:val="007646A8"/>
    <w:rsid w:val="007747F6"/>
    <w:rsid w:val="00774E0A"/>
    <w:rsid w:val="00783E2F"/>
    <w:rsid w:val="0079732F"/>
    <w:rsid w:val="007A19E4"/>
    <w:rsid w:val="007B2927"/>
    <w:rsid w:val="007B5647"/>
    <w:rsid w:val="007B73BF"/>
    <w:rsid w:val="007C193D"/>
    <w:rsid w:val="007C28AA"/>
    <w:rsid w:val="007F1421"/>
    <w:rsid w:val="007F1C25"/>
    <w:rsid w:val="0080138F"/>
    <w:rsid w:val="008165D5"/>
    <w:rsid w:val="00816EB9"/>
    <w:rsid w:val="00831ADD"/>
    <w:rsid w:val="00843F8D"/>
    <w:rsid w:val="008458BB"/>
    <w:rsid w:val="00846F00"/>
    <w:rsid w:val="00852383"/>
    <w:rsid w:val="00892BC7"/>
    <w:rsid w:val="00896885"/>
    <w:rsid w:val="008B12CA"/>
    <w:rsid w:val="008B2581"/>
    <w:rsid w:val="008C1737"/>
    <w:rsid w:val="008E1693"/>
    <w:rsid w:val="008E6538"/>
    <w:rsid w:val="008F1E60"/>
    <w:rsid w:val="008F383B"/>
    <w:rsid w:val="008F449A"/>
    <w:rsid w:val="00907755"/>
    <w:rsid w:val="00923ABF"/>
    <w:rsid w:val="009258F6"/>
    <w:rsid w:val="00935442"/>
    <w:rsid w:val="00936E35"/>
    <w:rsid w:val="0095596A"/>
    <w:rsid w:val="00994753"/>
    <w:rsid w:val="009B1D60"/>
    <w:rsid w:val="009B3576"/>
    <w:rsid w:val="009B44A2"/>
    <w:rsid w:val="009C3036"/>
    <w:rsid w:val="009C4859"/>
    <w:rsid w:val="009C6230"/>
    <w:rsid w:val="009C6276"/>
    <w:rsid w:val="009C67B5"/>
    <w:rsid w:val="009D1BC8"/>
    <w:rsid w:val="009E4F09"/>
    <w:rsid w:val="009F0DFF"/>
    <w:rsid w:val="009F1577"/>
    <w:rsid w:val="009F201C"/>
    <w:rsid w:val="009F3D7D"/>
    <w:rsid w:val="009F470F"/>
    <w:rsid w:val="00A06EB6"/>
    <w:rsid w:val="00A30052"/>
    <w:rsid w:val="00A3273A"/>
    <w:rsid w:val="00A517A2"/>
    <w:rsid w:val="00A627B5"/>
    <w:rsid w:val="00A66CA7"/>
    <w:rsid w:val="00A708EC"/>
    <w:rsid w:val="00A755AA"/>
    <w:rsid w:val="00A91757"/>
    <w:rsid w:val="00AA633D"/>
    <w:rsid w:val="00AB5F36"/>
    <w:rsid w:val="00AB7978"/>
    <w:rsid w:val="00AB7CA0"/>
    <w:rsid w:val="00AC5E67"/>
    <w:rsid w:val="00AD5549"/>
    <w:rsid w:val="00AD5E39"/>
    <w:rsid w:val="00AE20A9"/>
    <w:rsid w:val="00AE47D2"/>
    <w:rsid w:val="00AF5A1C"/>
    <w:rsid w:val="00AF6221"/>
    <w:rsid w:val="00B15C6D"/>
    <w:rsid w:val="00B268DD"/>
    <w:rsid w:val="00B406A6"/>
    <w:rsid w:val="00B44571"/>
    <w:rsid w:val="00B4630B"/>
    <w:rsid w:val="00B5513B"/>
    <w:rsid w:val="00B60DD3"/>
    <w:rsid w:val="00B62DD2"/>
    <w:rsid w:val="00B70FE1"/>
    <w:rsid w:val="00B72CA4"/>
    <w:rsid w:val="00B74987"/>
    <w:rsid w:val="00B74CC2"/>
    <w:rsid w:val="00B768BD"/>
    <w:rsid w:val="00B821BE"/>
    <w:rsid w:val="00B82328"/>
    <w:rsid w:val="00B91FC3"/>
    <w:rsid w:val="00BA0C75"/>
    <w:rsid w:val="00BA2594"/>
    <w:rsid w:val="00BA390E"/>
    <w:rsid w:val="00BA498B"/>
    <w:rsid w:val="00BA7659"/>
    <w:rsid w:val="00BB08D8"/>
    <w:rsid w:val="00BB109C"/>
    <w:rsid w:val="00BB36BA"/>
    <w:rsid w:val="00BD115C"/>
    <w:rsid w:val="00BD7A72"/>
    <w:rsid w:val="00BF2183"/>
    <w:rsid w:val="00C03F6C"/>
    <w:rsid w:val="00C05AAA"/>
    <w:rsid w:val="00C14E9F"/>
    <w:rsid w:val="00C218FE"/>
    <w:rsid w:val="00C27C94"/>
    <w:rsid w:val="00C317F2"/>
    <w:rsid w:val="00C33663"/>
    <w:rsid w:val="00C5235E"/>
    <w:rsid w:val="00C578DC"/>
    <w:rsid w:val="00C62893"/>
    <w:rsid w:val="00C7266C"/>
    <w:rsid w:val="00C74729"/>
    <w:rsid w:val="00C816B7"/>
    <w:rsid w:val="00C821C4"/>
    <w:rsid w:val="00C860D8"/>
    <w:rsid w:val="00C91951"/>
    <w:rsid w:val="00C955DF"/>
    <w:rsid w:val="00C97332"/>
    <w:rsid w:val="00CA1EE5"/>
    <w:rsid w:val="00CB045D"/>
    <w:rsid w:val="00CB0667"/>
    <w:rsid w:val="00CC5D73"/>
    <w:rsid w:val="00CC6C64"/>
    <w:rsid w:val="00CD67A5"/>
    <w:rsid w:val="00CE2C77"/>
    <w:rsid w:val="00CE68A8"/>
    <w:rsid w:val="00CF0D33"/>
    <w:rsid w:val="00CF31E0"/>
    <w:rsid w:val="00D0210D"/>
    <w:rsid w:val="00D02277"/>
    <w:rsid w:val="00D022E4"/>
    <w:rsid w:val="00D10B09"/>
    <w:rsid w:val="00D1396F"/>
    <w:rsid w:val="00D14E4F"/>
    <w:rsid w:val="00D1516C"/>
    <w:rsid w:val="00D17562"/>
    <w:rsid w:val="00D200D5"/>
    <w:rsid w:val="00D42FCA"/>
    <w:rsid w:val="00D451C6"/>
    <w:rsid w:val="00D473A2"/>
    <w:rsid w:val="00D501C2"/>
    <w:rsid w:val="00D559A8"/>
    <w:rsid w:val="00D7225A"/>
    <w:rsid w:val="00D74BB0"/>
    <w:rsid w:val="00D774D0"/>
    <w:rsid w:val="00D84B21"/>
    <w:rsid w:val="00D87E5F"/>
    <w:rsid w:val="00DA67B6"/>
    <w:rsid w:val="00DA6EEA"/>
    <w:rsid w:val="00DA7475"/>
    <w:rsid w:val="00DB1654"/>
    <w:rsid w:val="00DB3C56"/>
    <w:rsid w:val="00DB75B9"/>
    <w:rsid w:val="00DC5294"/>
    <w:rsid w:val="00DD001D"/>
    <w:rsid w:val="00DD20E8"/>
    <w:rsid w:val="00DD7443"/>
    <w:rsid w:val="00DE20EC"/>
    <w:rsid w:val="00DE2DBC"/>
    <w:rsid w:val="00DF16DA"/>
    <w:rsid w:val="00DF6458"/>
    <w:rsid w:val="00E064D2"/>
    <w:rsid w:val="00E120CB"/>
    <w:rsid w:val="00E17202"/>
    <w:rsid w:val="00E21900"/>
    <w:rsid w:val="00E2267C"/>
    <w:rsid w:val="00E407D4"/>
    <w:rsid w:val="00E42D3B"/>
    <w:rsid w:val="00E638E6"/>
    <w:rsid w:val="00E731AB"/>
    <w:rsid w:val="00E8217B"/>
    <w:rsid w:val="00E84605"/>
    <w:rsid w:val="00E85D73"/>
    <w:rsid w:val="00E86357"/>
    <w:rsid w:val="00E9657A"/>
    <w:rsid w:val="00EA018E"/>
    <w:rsid w:val="00EA7A7F"/>
    <w:rsid w:val="00EA7FE1"/>
    <w:rsid w:val="00EB0146"/>
    <w:rsid w:val="00EB0DD8"/>
    <w:rsid w:val="00ED01B2"/>
    <w:rsid w:val="00ED6204"/>
    <w:rsid w:val="00ED635D"/>
    <w:rsid w:val="00EE2B35"/>
    <w:rsid w:val="00EF2AB7"/>
    <w:rsid w:val="00EF542E"/>
    <w:rsid w:val="00EF6652"/>
    <w:rsid w:val="00EF695E"/>
    <w:rsid w:val="00F069C1"/>
    <w:rsid w:val="00F114E5"/>
    <w:rsid w:val="00F14B24"/>
    <w:rsid w:val="00F25E28"/>
    <w:rsid w:val="00F37B04"/>
    <w:rsid w:val="00F50103"/>
    <w:rsid w:val="00F56DEE"/>
    <w:rsid w:val="00F6096A"/>
    <w:rsid w:val="00F649C5"/>
    <w:rsid w:val="00F71D4F"/>
    <w:rsid w:val="00F74573"/>
    <w:rsid w:val="00F76047"/>
    <w:rsid w:val="00F82194"/>
    <w:rsid w:val="00F87922"/>
    <w:rsid w:val="00F949AD"/>
    <w:rsid w:val="00F97206"/>
    <w:rsid w:val="00FA19EE"/>
    <w:rsid w:val="00FA59CC"/>
    <w:rsid w:val="00FB3AB4"/>
    <w:rsid w:val="00FB4AA0"/>
    <w:rsid w:val="00FC797C"/>
    <w:rsid w:val="00FE55E8"/>
    <w:rsid w:val="00FE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C5"/>
  </w:style>
  <w:style w:type="paragraph" w:styleId="Footer">
    <w:name w:val="footer"/>
    <w:basedOn w:val="Normal"/>
    <w:link w:val="FooterChar"/>
    <w:uiPriority w:val="99"/>
    <w:unhideWhenUsed/>
    <w:rsid w:val="003B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C5"/>
  </w:style>
  <w:style w:type="paragraph" w:styleId="BalloonText">
    <w:name w:val="Balloon Text"/>
    <w:basedOn w:val="Normal"/>
    <w:link w:val="BalloonTextChar"/>
    <w:uiPriority w:val="99"/>
    <w:semiHidden/>
    <w:unhideWhenUsed/>
    <w:rsid w:val="003B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C5"/>
    <w:rPr>
      <w:rFonts w:ascii="Tahoma" w:hAnsi="Tahoma" w:cs="Tahoma"/>
      <w:sz w:val="16"/>
      <w:szCs w:val="16"/>
    </w:rPr>
  </w:style>
  <w:style w:type="table" w:styleId="TableGrid">
    <w:name w:val="Table Grid"/>
    <w:basedOn w:val="TableNormal"/>
    <w:uiPriority w:val="59"/>
    <w:rsid w:val="00B70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11EC"/>
    <w:rPr>
      <w:color w:val="0000FF"/>
      <w:u w:val="single"/>
    </w:rPr>
  </w:style>
  <w:style w:type="paragraph" w:styleId="ListParagraph">
    <w:name w:val="List Paragraph"/>
    <w:basedOn w:val="Normal"/>
    <w:uiPriority w:val="34"/>
    <w:qFormat/>
    <w:rsid w:val="009C6276"/>
    <w:pPr>
      <w:ind w:left="720"/>
      <w:contextualSpacing/>
    </w:pPr>
  </w:style>
  <w:style w:type="paragraph" w:styleId="NoSpacing">
    <w:name w:val="No Spacing"/>
    <w:uiPriority w:val="1"/>
    <w:qFormat/>
    <w:rsid w:val="00DA6EEA"/>
    <w:pPr>
      <w:spacing w:after="0" w:line="240" w:lineRule="auto"/>
    </w:pPr>
  </w:style>
  <w:style w:type="paragraph" w:customStyle="1" w:styleId="Default">
    <w:name w:val="Default"/>
    <w:rsid w:val="00C27C94"/>
    <w:pPr>
      <w:autoSpaceDE w:val="0"/>
      <w:autoSpaceDN w:val="0"/>
      <w:adjustRightInd w:val="0"/>
      <w:spacing w:after="0" w:line="240" w:lineRule="auto"/>
    </w:pPr>
    <w:rPr>
      <w:rFonts w:ascii="Californian FB" w:hAnsi="Californian FB" w:cs="Californian FB"/>
      <w:color w:val="000000"/>
      <w:sz w:val="24"/>
      <w:szCs w:val="24"/>
    </w:rPr>
  </w:style>
  <w:style w:type="character" w:styleId="CommentReference">
    <w:name w:val="annotation reference"/>
    <w:basedOn w:val="DefaultParagraphFont"/>
    <w:uiPriority w:val="99"/>
    <w:semiHidden/>
    <w:unhideWhenUsed/>
    <w:rsid w:val="007053AB"/>
    <w:rPr>
      <w:sz w:val="16"/>
      <w:szCs w:val="16"/>
    </w:rPr>
  </w:style>
  <w:style w:type="paragraph" w:styleId="CommentText">
    <w:name w:val="annotation text"/>
    <w:basedOn w:val="Normal"/>
    <w:link w:val="CommentTextChar"/>
    <w:uiPriority w:val="99"/>
    <w:semiHidden/>
    <w:unhideWhenUsed/>
    <w:rsid w:val="007053AB"/>
    <w:pPr>
      <w:spacing w:line="240" w:lineRule="auto"/>
    </w:pPr>
    <w:rPr>
      <w:sz w:val="20"/>
      <w:szCs w:val="20"/>
    </w:rPr>
  </w:style>
  <w:style w:type="character" w:customStyle="1" w:styleId="CommentTextChar">
    <w:name w:val="Comment Text Char"/>
    <w:basedOn w:val="DefaultParagraphFont"/>
    <w:link w:val="CommentText"/>
    <w:uiPriority w:val="99"/>
    <w:semiHidden/>
    <w:rsid w:val="007053AB"/>
    <w:rPr>
      <w:sz w:val="20"/>
      <w:szCs w:val="20"/>
    </w:rPr>
  </w:style>
  <w:style w:type="paragraph" w:styleId="CommentSubject">
    <w:name w:val="annotation subject"/>
    <w:basedOn w:val="CommentText"/>
    <w:next w:val="CommentText"/>
    <w:link w:val="CommentSubjectChar"/>
    <w:uiPriority w:val="99"/>
    <w:semiHidden/>
    <w:unhideWhenUsed/>
    <w:rsid w:val="007053AB"/>
    <w:rPr>
      <w:b/>
      <w:bCs/>
    </w:rPr>
  </w:style>
  <w:style w:type="character" w:customStyle="1" w:styleId="CommentSubjectChar">
    <w:name w:val="Comment Subject Char"/>
    <w:basedOn w:val="CommentTextChar"/>
    <w:link w:val="CommentSubject"/>
    <w:uiPriority w:val="99"/>
    <w:semiHidden/>
    <w:rsid w:val="007053AB"/>
    <w:rPr>
      <w:b/>
      <w:bCs/>
      <w:sz w:val="20"/>
      <w:szCs w:val="20"/>
    </w:rPr>
  </w:style>
  <w:style w:type="character" w:styleId="PlaceholderText">
    <w:name w:val="Placeholder Text"/>
    <w:basedOn w:val="DefaultParagraphFont"/>
    <w:uiPriority w:val="99"/>
    <w:semiHidden/>
    <w:rsid w:val="001028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C5"/>
  </w:style>
  <w:style w:type="paragraph" w:styleId="Footer">
    <w:name w:val="footer"/>
    <w:basedOn w:val="Normal"/>
    <w:link w:val="FooterChar"/>
    <w:uiPriority w:val="99"/>
    <w:unhideWhenUsed/>
    <w:rsid w:val="003B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C5"/>
  </w:style>
  <w:style w:type="paragraph" w:styleId="BalloonText">
    <w:name w:val="Balloon Text"/>
    <w:basedOn w:val="Normal"/>
    <w:link w:val="BalloonTextChar"/>
    <w:uiPriority w:val="99"/>
    <w:semiHidden/>
    <w:unhideWhenUsed/>
    <w:rsid w:val="003B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C5"/>
    <w:rPr>
      <w:rFonts w:ascii="Tahoma" w:hAnsi="Tahoma" w:cs="Tahoma"/>
      <w:sz w:val="16"/>
      <w:szCs w:val="16"/>
    </w:rPr>
  </w:style>
  <w:style w:type="table" w:styleId="TableGrid">
    <w:name w:val="Table Grid"/>
    <w:basedOn w:val="TableNormal"/>
    <w:uiPriority w:val="59"/>
    <w:rsid w:val="00B70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11EC"/>
    <w:rPr>
      <w:color w:val="0000FF"/>
      <w:u w:val="single"/>
    </w:rPr>
  </w:style>
  <w:style w:type="paragraph" w:styleId="ListParagraph">
    <w:name w:val="List Paragraph"/>
    <w:basedOn w:val="Normal"/>
    <w:uiPriority w:val="34"/>
    <w:qFormat/>
    <w:rsid w:val="009C6276"/>
    <w:pPr>
      <w:ind w:left="720"/>
      <w:contextualSpacing/>
    </w:pPr>
  </w:style>
  <w:style w:type="paragraph" w:styleId="NoSpacing">
    <w:name w:val="No Spacing"/>
    <w:uiPriority w:val="1"/>
    <w:qFormat/>
    <w:rsid w:val="00DA6EEA"/>
    <w:pPr>
      <w:spacing w:after="0" w:line="240" w:lineRule="auto"/>
    </w:pPr>
  </w:style>
  <w:style w:type="paragraph" w:customStyle="1" w:styleId="Default">
    <w:name w:val="Default"/>
    <w:rsid w:val="00C27C94"/>
    <w:pPr>
      <w:autoSpaceDE w:val="0"/>
      <w:autoSpaceDN w:val="0"/>
      <w:adjustRightInd w:val="0"/>
      <w:spacing w:after="0" w:line="240" w:lineRule="auto"/>
    </w:pPr>
    <w:rPr>
      <w:rFonts w:ascii="Californian FB" w:hAnsi="Californian FB" w:cs="Californian FB"/>
      <w:color w:val="000000"/>
      <w:sz w:val="24"/>
      <w:szCs w:val="24"/>
    </w:rPr>
  </w:style>
  <w:style w:type="character" w:styleId="CommentReference">
    <w:name w:val="annotation reference"/>
    <w:basedOn w:val="DefaultParagraphFont"/>
    <w:uiPriority w:val="99"/>
    <w:semiHidden/>
    <w:unhideWhenUsed/>
    <w:rsid w:val="007053AB"/>
    <w:rPr>
      <w:sz w:val="16"/>
      <w:szCs w:val="16"/>
    </w:rPr>
  </w:style>
  <w:style w:type="paragraph" w:styleId="CommentText">
    <w:name w:val="annotation text"/>
    <w:basedOn w:val="Normal"/>
    <w:link w:val="CommentTextChar"/>
    <w:uiPriority w:val="99"/>
    <w:semiHidden/>
    <w:unhideWhenUsed/>
    <w:rsid w:val="007053AB"/>
    <w:pPr>
      <w:spacing w:line="240" w:lineRule="auto"/>
    </w:pPr>
    <w:rPr>
      <w:sz w:val="20"/>
      <w:szCs w:val="20"/>
    </w:rPr>
  </w:style>
  <w:style w:type="character" w:customStyle="1" w:styleId="CommentTextChar">
    <w:name w:val="Comment Text Char"/>
    <w:basedOn w:val="DefaultParagraphFont"/>
    <w:link w:val="CommentText"/>
    <w:uiPriority w:val="99"/>
    <w:semiHidden/>
    <w:rsid w:val="007053AB"/>
    <w:rPr>
      <w:sz w:val="20"/>
      <w:szCs w:val="20"/>
    </w:rPr>
  </w:style>
  <w:style w:type="paragraph" w:styleId="CommentSubject">
    <w:name w:val="annotation subject"/>
    <w:basedOn w:val="CommentText"/>
    <w:next w:val="CommentText"/>
    <w:link w:val="CommentSubjectChar"/>
    <w:uiPriority w:val="99"/>
    <w:semiHidden/>
    <w:unhideWhenUsed/>
    <w:rsid w:val="007053AB"/>
    <w:rPr>
      <w:b/>
      <w:bCs/>
    </w:rPr>
  </w:style>
  <w:style w:type="character" w:customStyle="1" w:styleId="CommentSubjectChar">
    <w:name w:val="Comment Subject Char"/>
    <w:basedOn w:val="CommentTextChar"/>
    <w:link w:val="CommentSubject"/>
    <w:uiPriority w:val="99"/>
    <w:semiHidden/>
    <w:rsid w:val="007053AB"/>
    <w:rPr>
      <w:b/>
      <w:bCs/>
      <w:sz w:val="20"/>
      <w:szCs w:val="20"/>
    </w:rPr>
  </w:style>
  <w:style w:type="character" w:styleId="PlaceholderText">
    <w:name w:val="Placeholder Text"/>
    <w:basedOn w:val="DefaultParagraphFont"/>
    <w:uiPriority w:val="99"/>
    <w:semiHidden/>
    <w:rsid w:val="001028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3917">
      <w:bodyDiv w:val="1"/>
      <w:marLeft w:val="0"/>
      <w:marRight w:val="0"/>
      <w:marTop w:val="0"/>
      <w:marBottom w:val="0"/>
      <w:divBdr>
        <w:top w:val="none" w:sz="0" w:space="0" w:color="auto"/>
        <w:left w:val="none" w:sz="0" w:space="0" w:color="auto"/>
        <w:bottom w:val="none" w:sz="0" w:space="0" w:color="auto"/>
        <w:right w:val="none" w:sz="0" w:space="0" w:color="auto"/>
      </w:divBdr>
    </w:div>
    <w:div w:id="8920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159D-48C1-43B3-BD6C-94EEB42B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University of CaliforniaGovernmental Accounting Standards Board (GASB) Statement No. 78, Pensions Provided through Certain Multiple-Employer Defined Benefit Pension PlansIssues Resolution Memo No. 78-1Evaluation of GASB Statement No. 78 as it Relates to U</vt:lpstr>
    </vt:vector>
  </TitlesOfParts>
  <Company>University of California</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CaliforniaGovernmental Accounting Standards Board (GASB) Statement No. 78, Pensions Provided through Certain Multiple-Employer Defined Benefit Pension PlansIssues Resolution Memo No. 78-1Evaluation of GASB Statement No. 78 as it Relates to UC Reporting EntitiesIssued: December 2015</dc:title>
  <dc:creator>Windows User</dc:creator>
  <cp:lastModifiedBy>Windows User</cp:lastModifiedBy>
  <cp:revision>9</cp:revision>
  <cp:lastPrinted>2016-02-10T18:44:00Z</cp:lastPrinted>
  <dcterms:created xsi:type="dcterms:W3CDTF">2016-08-23T15:09:00Z</dcterms:created>
  <dcterms:modified xsi:type="dcterms:W3CDTF">2016-08-26T21:47:00Z</dcterms:modified>
</cp:coreProperties>
</file>