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0584" w14:textId="1BABB080" w:rsidR="00AB7A45" w:rsidRDefault="00AB7A45" w:rsidP="00AB7A45">
      <w:pPr>
        <w:pStyle w:val="Default"/>
        <w:rPr>
          <w:sz w:val="28"/>
          <w:szCs w:val="28"/>
        </w:rPr>
      </w:pPr>
      <w:r>
        <w:rPr>
          <w:b/>
          <w:bCs/>
          <w:color w:val="808080"/>
          <w:sz w:val="28"/>
          <w:szCs w:val="28"/>
        </w:rPr>
        <w:t>Pathways to</w:t>
      </w:r>
      <w:r w:rsidR="00D94C1A">
        <w:rPr>
          <w:b/>
          <w:bCs/>
          <w:color w:val="808080"/>
          <w:sz w:val="28"/>
          <w:szCs w:val="28"/>
        </w:rPr>
        <w:t xml:space="preserve"> a</w:t>
      </w:r>
      <w:r>
        <w:rPr>
          <w:b/>
          <w:bCs/>
          <w:color w:val="808080"/>
          <w:sz w:val="28"/>
          <w:szCs w:val="28"/>
        </w:rPr>
        <w:t xml:space="preserve"> Fossil Free UC – Scoping Guidance Document </w:t>
      </w:r>
    </w:p>
    <w:p w14:paraId="7575733E" w14:textId="77777777" w:rsidR="00AB7A45" w:rsidRDefault="00AB7A45" w:rsidP="00AB7A45">
      <w:pPr>
        <w:pStyle w:val="Default"/>
        <w:rPr>
          <w:sz w:val="28"/>
          <w:szCs w:val="28"/>
        </w:rPr>
      </w:pPr>
    </w:p>
    <w:p w14:paraId="35D2FDA5" w14:textId="77777777" w:rsidR="00AB7A45" w:rsidRDefault="00AB7A45" w:rsidP="00AB7A45">
      <w:pPr>
        <w:pStyle w:val="Default"/>
        <w:rPr>
          <w:rFonts w:ascii="Arial" w:hAnsi="Arial" w:cs="Arial"/>
          <w:sz w:val="28"/>
          <w:szCs w:val="28"/>
        </w:rPr>
      </w:pPr>
      <w:r>
        <w:rPr>
          <w:rFonts w:ascii="Arial" w:hAnsi="Arial" w:cs="Arial"/>
          <w:b/>
          <w:bCs/>
          <w:sz w:val="28"/>
          <w:szCs w:val="28"/>
        </w:rPr>
        <w:t xml:space="preserve">Pathways to a Fossil Free UC Task Force </w:t>
      </w:r>
    </w:p>
    <w:p w14:paraId="7A5980F9" w14:textId="77777777" w:rsidR="00AB7A45" w:rsidRDefault="00AB7A45" w:rsidP="00AB7A45">
      <w:pPr>
        <w:pStyle w:val="Default"/>
        <w:rPr>
          <w:rFonts w:ascii="Arial" w:hAnsi="Arial" w:cs="Arial"/>
          <w:b/>
          <w:bCs/>
          <w:sz w:val="28"/>
          <w:szCs w:val="28"/>
        </w:rPr>
      </w:pPr>
      <w:r>
        <w:rPr>
          <w:rFonts w:ascii="Arial" w:hAnsi="Arial" w:cs="Arial"/>
          <w:b/>
          <w:bCs/>
          <w:sz w:val="28"/>
          <w:szCs w:val="28"/>
        </w:rPr>
        <w:t xml:space="preserve">State-funded Decarbonization Study Scoping Guidance </w:t>
      </w:r>
    </w:p>
    <w:p w14:paraId="56B5CF16" w14:textId="249EEB14" w:rsidR="00AB7A45" w:rsidRPr="00AB7A45" w:rsidRDefault="00AB7A45" w:rsidP="00AB7A45">
      <w:pPr>
        <w:pStyle w:val="Default"/>
        <w:rPr>
          <w:rFonts w:ascii="Arial" w:hAnsi="Arial" w:cs="Arial"/>
          <w:i/>
          <w:sz w:val="28"/>
          <w:szCs w:val="28"/>
        </w:rPr>
      </w:pPr>
      <w:r w:rsidRPr="00AB7A45">
        <w:rPr>
          <w:rFonts w:ascii="Arial" w:hAnsi="Arial" w:cs="Arial"/>
          <w:i/>
          <w:sz w:val="28"/>
          <w:szCs w:val="28"/>
        </w:rPr>
        <w:t xml:space="preserve">Updated </w:t>
      </w:r>
      <w:r w:rsidR="00D94C1A">
        <w:rPr>
          <w:rFonts w:ascii="Arial" w:hAnsi="Arial" w:cs="Arial"/>
          <w:i/>
          <w:sz w:val="28"/>
          <w:szCs w:val="28"/>
        </w:rPr>
        <w:t>May 19</w:t>
      </w:r>
      <w:r w:rsidRPr="00AB7A45">
        <w:rPr>
          <w:rFonts w:ascii="Arial" w:hAnsi="Arial" w:cs="Arial"/>
          <w:i/>
          <w:sz w:val="28"/>
          <w:szCs w:val="28"/>
        </w:rPr>
        <w:t>, 2023 to align with changes to the Climate Action section of the UC Policy on Sustainable Practices adopted May 5, 2023 by the UC Sustainability Steering Committee</w:t>
      </w:r>
      <w:r w:rsidR="00D94C1A">
        <w:rPr>
          <w:rFonts w:ascii="Arial" w:hAnsi="Arial" w:cs="Arial"/>
          <w:i/>
          <w:sz w:val="28"/>
          <w:szCs w:val="28"/>
        </w:rPr>
        <w:t>.</w:t>
      </w:r>
    </w:p>
    <w:p w14:paraId="17D657EF" w14:textId="77777777" w:rsidR="005702BE" w:rsidRDefault="005702BE" w:rsidP="00AB7A45">
      <w:pPr>
        <w:pStyle w:val="Default"/>
        <w:rPr>
          <w:rFonts w:ascii="Arial" w:hAnsi="Arial" w:cs="Arial"/>
          <w:b/>
          <w:bCs/>
          <w:sz w:val="22"/>
          <w:szCs w:val="22"/>
        </w:rPr>
      </w:pPr>
    </w:p>
    <w:p w14:paraId="14F8369B" w14:textId="77777777" w:rsidR="00AB7A45" w:rsidRDefault="00AB7A45" w:rsidP="00AB7A45">
      <w:pPr>
        <w:pStyle w:val="Default"/>
        <w:rPr>
          <w:rFonts w:ascii="Arial" w:hAnsi="Arial" w:cs="Arial"/>
          <w:sz w:val="22"/>
          <w:szCs w:val="22"/>
        </w:rPr>
      </w:pPr>
      <w:r>
        <w:rPr>
          <w:rFonts w:ascii="Arial" w:hAnsi="Arial" w:cs="Arial"/>
          <w:b/>
          <w:bCs/>
          <w:sz w:val="22"/>
          <w:szCs w:val="22"/>
        </w:rPr>
        <w:t xml:space="preserve">General Scope </w:t>
      </w:r>
    </w:p>
    <w:p w14:paraId="1153966D" w14:textId="77777777" w:rsidR="00AB7A45" w:rsidRDefault="00AB7A45" w:rsidP="00AB7A45">
      <w:pPr>
        <w:pStyle w:val="Default"/>
        <w:rPr>
          <w:rFonts w:ascii="Arial" w:hAnsi="Arial" w:cs="Arial"/>
          <w:sz w:val="22"/>
          <w:szCs w:val="22"/>
        </w:rPr>
      </w:pPr>
      <w:r>
        <w:rPr>
          <w:rFonts w:ascii="Arial" w:hAnsi="Arial" w:cs="Arial"/>
          <w:sz w:val="22"/>
          <w:szCs w:val="22"/>
        </w:rPr>
        <w:t xml:space="preserve">Campuses and health systems can use State decarbonization funds for any local priorities within the general scope of decarbonizing greenhouse gas (GHG) emissions from campus and health system energy systems. Energy efficiency, vehicle fleet, energy procurement, and all scope 3 emissions are outside of the scope of these State-funded studies. All campuses and health systems are required to provide the following five deliverables. Funds should be used to produce these deliverables if they cannot be provided through other means. </w:t>
      </w:r>
    </w:p>
    <w:p w14:paraId="4EBE9D54" w14:textId="77777777" w:rsidR="005702BE" w:rsidRDefault="005702BE" w:rsidP="00AB7A45">
      <w:pPr>
        <w:pStyle w:val="Default"/>
        <w:rPr>
          <w:rFonts w:ascii="Arial" w:hAnsi="Arial" w:cs="Arial"/>
          <w:b/>
          <w:bCs/>
          <w:sz w:val="22"/>
          <w:szCs w:val="22"/>
        </w:rPr>
      </w:pPr>
    </w:p>
    <w:p w14:paraId="01A66F2B" w14:textId="77777777" w:rsidR="00AB7A45" w:rsidRDefault="00AB7A45" w:rsidP="00AB7A45">
      <w:pPr>
        <w:pStyle w:val="Default"/>
        <w:rPr>
          <w:rFonts w:ascii="Arial" w:hAnsi="Arial" w:cs="Arial"/>
          <w:sz w:val="22"/>
          <w:szCs w:val="22"/>
        </w:rPr>
      </w:pPr>
      <w:r>
        <w:rPr>
          <w:rFonts w:ascii="Arial" w:hAnsi="Arial" w:cs="Arial"/>
          <w:b/>
          <w:bCs/>
          <w:sz w:val="22"/>
          <w:szCs w:val="22"/>
        </w:rPr>
        <w:t xml:space="preserve">Deliverables </w:t>
      </w:r>
    </w:p>
    <w:p w14:paraId="4B2EA9BB" w14:textId="77777777" w:rsidR="00D94C1A" w:rsidRDefault="00AB7A45" w:rsidP="00AB7A45">
      <w:pPr>
        <w:pStyle w:val="Default"/>
        <w:numPr>
          <w:ilvl w:val="0"/>
          <w:numId w:val="1"/>
        </w:numPr>
        <w:rPr>
          <w:rFonts w:ascii="Arial" w:hAnsi="Arial" w:cs="Arial"/>
          <w:sz w:val="22"/>
          <w:szCs w:val="22"/>
        </w:rPr>
      </w:pPr>
      <w:r>
        <w:rPr>
          <w:rFonts w:ascii="Arial" w:hAnsi="Arial" w:cs="Arial"/>
          <w:sz w:val="22"/>
          <w:szCs w:val="22"/>
        </w:rPr>
        <w:t>Produce a strategy for a 90 percent or greater reduction in scope 1 emissions from fossil gas use in campus energy systems from a 2019 baseline</w:t>
      </w:r>
      <w:r w:rsidR="005702BE">
        <w:rPr>
          <w:rFonts w:ascii="Arial" w:hAnsi="Arial" w:cs="Arial"/>
          <w:sz w:val="22"/>
          <w:szCs w:val="22"/>
        </w:rPr>
        <w:t>, which is defined to be full direct decarbonization for this study effort</w:t>
      </w:r>
      <w:r>
        <w:rPr>
          <w:rFonts w:ascii="Arial" w:hAnsi="Arial" w:cs="Arial"/>
          <w:sz w:val="22"/>
          <w:szCs w:val="22"/>
        </w:rPr>
        <w:t xml:space="preserve">. The strategy will provide decision support for campus and health system leadership to commit to the earliest possible target date for full direct decarbonization, to be no later than 2045, and interim targets for the years 2030, 2035, and 2040 for the campus/health system central energy system, while maintaining resilience, electrical reliability, and regulatory compliance. Multiple scenarios (reflective of timing, fuel switching, etc.) are encouraged to provide richer decision support to leadership and to allow for flexibility. </w:t>
      </w:r>
    </w:p>
    <w:p w14:paraId="59324B83" w14:textId="77777777" w:rsidR="00D94C1A" w:rsidRDefault="00D94C1A" w:rsidP="00D94C1A">
      <w:pPr>
        <w:pStyle w:val="Default"/>
        <w:ind w:left="720"/>
        <w:rPr>
          <w:rFonts w:ascii="Arial" w:hAnsi="Arial" w:cs="Arial"/>
          <w:sz w:val="22"/>
          <w:szCs w:val="22"/>
        </w:rPr>
      </w:pPr>
    </w:p>
    <w:p w14:paraId="0AA8C0C1" w14:textId="77777777" w:rsidR="00D94C1A" w:rsidRDefault="00AB7A45" w:rsidP="00D94C1A">
      <w:pPr>
        <w:pStyle w:val="Default"/>
        <w:ind w:left="720"/>
        <w:rPr>
          <w:rFonts w:ascii="Arial" w:hAnsi="Arial" w:cs="Arial"/>
          <w:sz w:val="22"/>
          <w:szCs w:val="22"/>
        </w:rPr>
      </w:pPr>
      <w:r w:rsidRPr="00D94C1A">
        <w:rPr>
          <w:rFonts w:ascii="Arial" w:hAnsi="Arial" w:cs="Arial"/>
          <w:sz w:val="22"/>
          <w:szCs w:val="22"/>
        </w:rPr>
        <w:t xml:space="preserve">Scenarios should include evaluation of what would be required to achieve electrification of main campus energy systems at the location. Additionally, scenarios may consider the role of biogas and/or green hydrogen for remaining systems that are not fully electrified. To align with proposed policy goals, the strategy must include interim scope 1 energy system greenhouse gas reduction targets for the years 2030, 2035, and 2040 if full </w:t>
      </w:r>
      <w:r w:rsidR="005702BE" w:rsidRPr="00D94C1A">
        <w:rPr>
          <w:rFonts w:ascii="Arial" w:hAnsi="Arial" w:cs="Arial"/>
          <w:sz w:val="22"/>
          <w:szCs w:val="22"/>
        </w:rPr>
        <w:t xml:space="preserve">direct </w:t>
      </w:r>
      <w:r w:rsidRPr="00D94C1A">
        <w:rPr>
          <w:rFonts w:ascii="Arial" w:hAnsi="Arial" w:cs="Arial"/>
          <w:sz w:val="22"/>
          <w:szCs w:val="22"/>
        </w:rPr>
        <w:t xml:space="preserve">decarbonization is not expected to be achieved before 2040. </w:t>
      </w:r>
    </w:p>
    <w:p w14:paraId="6877CF14" w14:textId="77777777" w:rsidR="00D94C1A" w:rsidRDefault="00D94C1A" w:rsidP="00D94C1A">
      <w:pPr>
        <w:pStyle w:val="Default"/>
        <w:ind w:left="720"/>
        <w:rPr>
          <w:rFonts w:ascii="Arial" w:hAnsi="Arial" w:cs="Arial"/>
          <w:sz w:val="22"/>
          <w:szCs w:val="22"/>
        </w:rPr>
      </w:pPr>
    </w:p>
    <w:p w14:paraId="1A8E326E" w14:textId="77777777" w:rsidR="00D94C1A" w:rsidRDefault="00AB7A45" w:rsidP="00AB7A45">
      <w:pPr>
        <w:pStyle w:val="Default"/>
        <w:numPr>
          <w:ilvl w:val="0"/>
          <w:numId w:val="1"/>
        </w:numPr>
        <w:rPr>
          <w:rFonts w:ascii="Arial" w:hAnsi="Arial" w:cs="Arial"/>
          <w:sz w:val="22"/>
          <w:szCs w:val="22"/>
        </w:rPr>
      </w:pPr>
      <w:r w:rsidRPr="00D94C1A">
        <w:rPr>
          <w:rFonts w:ascii="Arial" w:hAnsi="Arial" w:cs="Arial"/>
          <w:sz w:val="22"/>
          <w:szCs w:val="22"/>
        </w:rPr>
        <w:t xml:space="preserve">Provide high level estimates of total capital and operational costs and savings, by phase if relevant, in sufficient detail to support funding requests to government and donors as well as inclusion in the campus or health system’s capital financial plan. This cost-benefit analysis should include high level estimates of avoided maintenance, renewal, biogas, carbon offsets, water, and the social cost of carbon. </w:t>
      </w:r>
    </w:p>
    <w:p w14:paraId="70E419F2" w14:textId="77777777" w:rsidR="00D94C1A" w:rsidRDefault="00D94C1A" w:rsidP="00D94C1A">
      <w:pPr>
        <w:pStyle w:val="Default"/>
        <w:ind w:left="720"/>
        <w:rPr>
          <w:rFonts w:ascii="Arial" w:hAnsi="Arial" w:cs="Arial"/>
          <w:sz w:val="22"/>
          <w:szCs w:val="22"/>
        </w:rPr>
      </w:pPr>
    </w:p>
    <w:p w14:paraId="1C8871C0" w14:textId="77777777" w:rsidR="00D94C1A" w:rsidRDefault="00AB7A45" w:rsidP="00AB7A45">
      <w:pPr>
        <w:pStyle w:val="Default"/>
        <w:numPr>
          <w:ilvl w:val="0"/>
          <w:numId w:val="1"/>
        </w:numPr>
        <w:rPr>
          <w:rFonts w:ascii="Arial" w:hAnsi="Arial" w:cs="Arial"/>
          <w:sz w:val="22"/>
          <w:szCs w:val="22"/>
        </w:rPr>
      </w:pPr>
      <w:r w:rsidRPr="00D94C1A">
        <w:rPr>
          <w:rFonts w:ascii="Arial" w:hAnsi="Arial" w:cs="Arial"/>
          <w:sz w:val="22"/>
          <w:szCs w:val="22"/>
        </w:rPr>
        <w:t xml:space="preserve">Identify climate justice and equity considerations related to the transition of campus/ health system energy systems to fossil fuel free and propose solutions or next steps to identify solutions. These considerations reference the </w:t>
      </w:r>
      <w:r w:rsidRPr="00D94C1A">
        <w:rPr>
          <w:rFonts w:ascii="Arial" w:hAnsi="Arial" w:cs="Arial"/>
          <w:color w:val="0000FF"/>
          <w:sz w:val="22"/>
          <w:szCs w:val="22"/>
        </w:rPr>
        <w:t xml:space="preserve">UC Framework for Incorporating Environmental and Climate Justice into Climate Action </w:t>
      </w:r>
      <w:r w:rsidRPr="00D94C1A">
        <w:rPr>
          <w:rFonts w:ascii="Arial" w:hAnsi="Arial" w:cs="Arial"/>
          <w:sz w:val="22"/>
          <w:szCs w:val="22"/>
        </w:rPr>
        <w:t xml:space="preserve">and should: </w:t>
      </w:r>
    </w:p>
    <w:p w14:paraId="398094EA" w14:textId="77777777" w:rsidR="00D94C1A" w:rsidRDefault="00D94C1A" w:rsidP="00D94C1A">
      <w:pPr>
        <w:pStyle w:val="ListParagraph"/>
        <w:rPr>
          <w:rFonts w:ascii="Arial" w:hAnsi="Arial" w:cs="Arial"/>
        </w:rPr>
      </w:pPr>
    </w:p>
    <w:p w14:paraId="5FD8DC2D"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Assess vulnerability of labor and surrounding community to transition to fossil free </w:t>
      </w:r>
    </w:p>
    <w:p w14:paraId="39038927"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Develop and evaluate equity indicators on transition impacts and opportunities </w:t>
      </w:r>
    </w:p>
    <w:p w14:paraId="142C440C"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Incorporate four major climate and environmental justice concepts:</w:t>
      </w:r>
    </w:p>
    <w:p w14:paraId="36374603" w14:textId="6BA42BAC" w:rsidR="00D94C1A" w:rsidRDefault="00AB7A45" w:rsidP="00D94C1A">
      <w:pPr>
        <w:pStyle w:val="Default"/>
        <w:numPr>
          <w:ilvl w:val="2"/>
          <w:numId w:val="1"/>
        </w:numPr>
        <w:rPr>
          <w:rFonts w:ascii="Arial" w:hAnsi="Arial" w:cs="Arial"/>
          <w:sz w:val="22"/>
          <w:szCs w:val="22"/>
        </w:rPr>
      </w:pPr>
      <w:r w:rsidRPr="00D94C1A">
        <w:rPr>
          <w:rFonts w:ascii="Arial" w:hAnsi="Arial" w:cs="Arial"/>
          <w:sz w:val="22"/>
          <w:szCs w:val="22"/>
        </w:rPr>
        <w:lastRenderedPageBreak/>
        <w:t xml:space="preserve">Procedural: fairness of the decision-making process </w:t>
      </w:r>
    </w:p>
    <w:p w14:paraId="0D9FC196" w14:textId="77777777" w:rsidR="00D94C1A" w:rsidRDefault="00AB7A45" w:rsidP="00AB7A45">
      <w:pPr>
        <w:pStyle w:val="Default"/>
        <w:numPr>
          <w:ilvl w:val="2"/>
          <w:numId w:val="1"/>
        </w:numPr>
        <w:rPr>
          <w:rFonts w:ascii="Arial" w:hAnsi="Arial" w:cs="Arial"/>
          <w:sz w:val="22"/>
          <w:szCs w:val="22"/>
        </w:rPr>
      </w:pPr>
      <w:r w:rsidRPr="00D94C1A">
        <w:rPr>
          <w:rFonts w:ascii="Arial" w:hAnsi="Arial" w:cs="Arial"/>
          <w:sz w:val="22"/>
          <w:szCs w:val="22"/>
        </w:rPr>
        <w:t xml:space="preserve">Recognition: respecting different values, cultures, </w:t>
      </w:r>
      <w:proofErr w:type="gramStart"/>
      <w:r w:rsidRPr="00D94C1A">
        <w:rPr>
          <w:rFonts w:ascii="Arial" w:hAnsi="Arial" w:cs="Arial"/>
          <w:sz w:val="22"/>
          <w:szCs w:val="22"/>
        </w:rPr>
        <w:t>opinions</w:t>
      </w:r>
      <w:proofErr w:type="gramEnd"/>
      <w:r w:rsidRPr="00D94C1A">
        <w:rPr>
          <w:rFonts w:ascii="Arial" w:hAnsi="Arial" w:cs="Arial"/>
          <w:sz w:val="22"/>
          <w:szCs w:val="22"/>
        </w:rPr>
        <w:t xml:space="preserve"> and structures within communities </w:t>
      </w:r>
    </w:p>
    <w:p w14:paraId="04BAF58C" w14:textId="77777777" w:rsidR="00D94C1A" w:rsidRDefault="00AB7A45" w:rsidP="00AB7A45">
      <w:pPr>
        <w:pStyle w:val="Default"/>
        <w:numPr>
          <w:ilvl w:val="2"/>
          <w:numId w:val="1"/>
        </w:numPr>
        <w:rPr>
          <w:rFonts w:ascii="Arial" w:hAnsi="Arial" w:cs="Arial"/>
          <w:sz w:val="22"/>
          <w:szCs w:val="22"/>
        </w:rPr>
      </w:pPr>
      <w:r w:rsidRPr="00D94C1A">
        <w:rPr>
          <w:rFonts w:ascii="Arial" w:hAnsi="Arial" w:cs="Arial"/>
          <w:sz w:val="22"/>
          <w:szCs w:val="22"/>
        </w:rPr>
        <w:t xml:space="preserve">Distributive: just allocation of resources, benefits, and burdens </w:t>
      </w:r>
    </w:p>
    <w:p w14:paraId="00AA86A9" w14:textId="77777777" w:rsidR="00D94C1A" w:rsidRDefault="00AB7A45" w:rsidP="00AB7A45">
      <w:pPr>
        <w:pStyle w:val="Default"/>
        <w:numPr>
          <w:ilvl w:val="2"/>
          <w:numId w:val="1"/>
        </w:numPr>
        <w:rPr>
          <w:rFonts w:ascii="Arial" w:hAnsi="Arial" w:cs="Arial"/>
          <w:sz w:val="22"/>
          <w:szCs w:val="22"/>
        </w:rPr>
      </w:pPr>
      <w:r w:rsidRPr="00D94C1A">
        <w:rPr>
          <w:rFonts w:ascii="Arial" w:hAnsi="Arial" w:cs="Arial"/>
          <w:sz w:val="22"/>
          <w:szCs w:val="22"/>
        </w:rPr>
        <w:t xml:space="preserve">Restorative: responsive to those impacted by the transition </w:t>
      </w:r>
    </w:p>
    <w:p w14:paraId="7FA4286A" w14:textId="77777777" w:rsidR="00D94C1A" w:rsidRDefault="00D94C1A" w:rsidP="00D94C1A">
      <w:pPr>
        <w:pStyle w:val="Default"/>
        <w:ind w:left="2160"/>
        <w:rPr>
          <w:rFonts w:ascii="Arial" w:hAnsi="Arial" w:cs="Arial"/>
          <w:sz w:val="22"/>
          <w:szCs w:val="22"/>
        </w:rPr>
      </w:pPr>
    </w:p>
    <w:p w14:paraId="25E94145" w14:textId="77777777" w:rsidR="00D94C1A" w:rsidRDefault="00AB7A45" w:rsidP="00AB7A45">
      <w:pPr>
        <w:pStyle w:val="Default"/>
        <w:numPr>
          <w:ilvl w:val="0"/>
          <w:numId w:val="1"/>
        </w:numPr>
        <w:rPr>
          <w:rFonts w:ascii="Arial" w:hAnsi="Arial" w:cs="Arial"/>
          <w:sz w:val="22"/>
          <w:szCs w:val="22"/>
        </w:rPr>
      </w:pPr>
      <w:r w:rsidRPr="00D94C1A">
        <w:rPr>
          <w:rFonts w:ascii="Arial" w:hAnsi="Arial" w:cs="Arial"/>
          <w:sz w:val="22"/>
          <w:szCs w:val="22"/>
        </w:rPr>
        <w:t xml:space="preserve">Document knowledge gaps, and subsequent studies and analyses needed to conduct Net-Zero planning that addresses the following. </w:t>
      </w:r>
    </w:p>
    <w:p w14:paraId="7DF0E3DC" w14:textId="77777777" w:rsidR="00D94C1A" w:rsidRDefault="00D94C1A" w:rsidP="00D94C1A">
      <w:pPr>
        <w:pStyle w:val="Default"/>
        <w:ind w:left="720"/>
        <w:rPr>
          <w:rFonts w:ascii="Arial" w:hAnsi="Arial" w:cs="Arial"/>
          <w:sz w:val="22"/>
          <w:szCs w:val="22"/>
        </w:rPr>
      </w:pPr>
    </w:p>
    <w:p w14:paraId="5BED39F9"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Interim reduction targets </w:t>
      </w:r>
      <w:r w:rsidR="005702BE" w:rsidRPr="00D94C1A">
        <w:rPr>
          <w:rFonts w:ascii="Arial" w:hAnsi="Arial" w:cs="Arial"/>
          <w:sz w:val="22"/>
          <w:szCs w:val="22"/>
        </w:rPr>
        <w:t>for years 2030, 2035, and 2040, if full direct decarbonization is not expected to be achieved before 2040,</w:t>
      </w:r>
      <w:r w:rsidRPr="00D94C1A">
        <w:rPr>
          <w:rFonts w:ascii="Arial" w:hAnsi="Arial" w:cs="Arial"/>
          <w:sz w:val="22"/>
          <w:szCs w:val="22"/>
        </w:rPr>
        <w:t xml:space="preserve"> covering all applicable scope 1, 2, and 3 emissions</w:t>
      </w:r>
      <w:r w:rsidR="005702BE" w:rsidRPr="00D94C1A">
        <w:rPr>
          <w:rFonts w:ascii="Arial" w:hAnsi="Arial" w:cs="Arial"/>
          <w:sz w:val="22"/>
          <w:szCs w:val="22"/>
        </w:rPr>
        <w:t>, as defined in the Climate Action section of the UC Policy on Sustainable Practices</w:t>
      </w:r>
      <w:r w:rsidRPr="00D94C1A">
        <w:rPr>
          <w:rFonts w:ascii="Arial" w:hAnsi="Arial" w:cs="Arial"/>
          <w:sz w:val="22"/>
          <w:szCs w:val="22"/>
        </w:rPr>
        <w:t xml:space="preserve"> </w:t>
      </w:r>
    </w:p>
    <w:p w14:paraId="182D18D3"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All fossil fuel uses </w:t>
      </w:r>
    </w:p>
    <w:p w14:paraId="6041A952"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A comprehensive institutional boundary </w:t>
      </w:r>
    </w:p>
    <w:p w14:paraId="094B9E6C"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Climate and environmental justice </w:t>
      </w:r>
    </w:p>
    <w:p w14:paraId="4167CAA7"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Risk minimization (financial, operational, and reputational) </w:t>
      </w:r>
    </w:p>
    <w:p w14:paraId="2B47558A" w14:textId="77777777" w:rsidR="00D94C1A" w:rsidRDefault="00D94C1A" w:rsidP="00D94C1A">
      <w:pPr>
        <w:pStyle w:val="Default"/>
        <w:ind w:left="1440"/>
        <w:rPr>
          <w:rFonts w:ascii="Arial" w:hAnsi="Arial" w:cs="Arial"/>
          <w:sz w:val="22"/>
          <w:szCs w:val="22"/>
        </w:rPr>
      </w:pPr>
    </w:p>
    <w:p w14:paraId="2E71CB24" w14:textId="77777777" w:rsidR="00D94C1A" w:rsidRDefault="00AB7A45" w:rsidP="00D94C1A">
      <w:pPr>
        <w:pStyle w:val="Default"/>
        <w:ind w:left="720"/>
        <w:rPr>
          <w:rFonts w:ascii="Arial" w:hAnsi="Arial" w:cs="Arial"/>
          <w:sz w:val="22"/>
          <w:szCs w:val="22"/>
        </w:rPr>
      </w:pPr>
      <w:r w:rsidRPr="00D94C1A">
        <w:rPr>
          <w:rFonts w:ascii="Arial" w:hAnsi="Arial" w:cs="Arial"/>
          <w:sz w:val="22"/>
          <w:szCs w:val="22"/>
        </w:rPr>
        <w:t xml:space="preserve">Note: This deliverable should list key components needed to conduct Net-Zero planning. It is not intended to be a full Net Zero Plan. </w:t>
      </w:r>
    </w:p>
    <w:p w14:paraId="08DA54F2" w14:textId="77777777" w:rsidR="00D94C1A" w:rsidRDefault="00D94C1A" w:rsidP="00D94C1A">
      <w:pPr>
        <w:pStyle w:val="Default"/>
        <w:ind w:left="720"/>
        <w:rPr>
          <w:rFonts w:ascii="Arial" w:hAnsi="Arial" w:cs="Arial"/>
          <w:sz w:val="22"/>
          <w:szCs w:val="22"/>
        </w:rPr>
      </w:pPr>
    </w:p>
    <w:p w14:paraId="72CCE3DF" w14:textId="77777777" w:rsidR="00D94C1A" w:rsidRDefault="00AB7A45" w:rsidP="00D94C1A">
      <w:pPr>
        <w:pStyle w:val="Default"/>
        <w:numPr>
          <w:ilvl w:val="0"/>
          <w:numId w:val="1"/>
        </w:numPr>
        <w:rPr>
          <w:rFonts w:ascii="Arial" w:hAnsi="Arial" w:cs="Arial"/>
          <w:sz w:val="22"/>
          <w:szCs w:val="22"/>
        </w:rPr>
      </w:pPr>
      <w:r>
        <w:rPr>
          <w:rFonts w:ascii="Arial" w:hAnsi="Arial" w:cs="Arial"/>
          <w:sz w:val="22"/>
          <w:szCs w:val="22"/>
        </w:rPr>
        <w:t>Document knowledge gaps, and subsequent analyses and engagement activities needed to conduct climate action and resiliency planning for an academic setting, inclusive of:</w:t>
      </w:r>
    </w:p>
    <w:p w14:paraId="1B4AA473" w14:textId="77777777" w:rsidR="00D94C1A" w:rsidRDefault="00AB7A45" w:rsidP="00D94C1A">
      <w:pPr>
        <w:pStyle w:val="Default"/>
        <w:numPr>
          <w:ilvl w:val="1"/>
          <w:numId w:val="1"/>
        </w:numPr>
        <w:rPr>
          <w:rFonts w:ascii="Arial" w:hAnsi="Arial" w:cs="Arial"/>
          <w:sz w:val="22"/>
          <w:szCs w:val="22"/>
        </w:rPr>
      </w:pPr>
      <w:r>
        <w:rPr>
          <w:rFonts w:ascii="Arial" w:hAnsi="Arial" w:cs="Arial"/>
          <w:sz w:val="22"/>
          <w:szCs w:val="22"/>
        </w:rPr>
        <w:t xml:space="preserve">Living laboratory opportunities for research demonstrations, courses, or student projects, or other involvement </w:t>
      </w:r>
    </w:p>
    <w:p w14:paraId="203A69F8"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Service activities and scalable, replicable knowledge sharing </w:t>
      </w:r>
    </w:p>
    <w:p w14:paraId="2FF55690"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Resiliency within a community context and framed within a climate and environmental justice lens </w:t>
      </w:r>
    </w:p>
    <w:p w14:paraId="739044FB" w14:textId="77777777" w:rsid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See deliverable #3 and the University of California Framework for Incorporating Environmental &amp; Climate Justice into Climate Action </w:t>
      </w:r>
    </w:p>
    <w:p w14:paraId="6E582060" w14:textId="76E54C98" w:rsidR="00AB7A45" w:rsidRPr="00D94C1A" w:rsidRDefault="00AB7A45" w:rsidP="00AB7A45">
      <w:pPr>
        <w:pStyle w:val="Default"/>
        <w:numPr>
          <w:ilvl w:val="1"/>
          <w:numId w:val="1"/>
        </w:numPr>
        <w:rPr>
          <w:rFonts w:ascii="Arial" w:hAnsi="Arial" w:cs="Arial"/>
          <w:sz w:val="22"/>
          <w:szCs w:val="22"/>
        </w:rPr>
      </w:pPr>
      <w:r w:rsidRPr="00D94C1A">
        <w:rPr>
          <w:rFonts w:ascii="Arial" w:hAnsi="Arial" w:cs="Arial"/>
          <w:sz w:val="22"/>
          <w:szCs w:val="22"/>
        </w:rPr>
        <w:t xml:space="preserve">Biodiversity and habitat protection </w:t>
      </w:r>
    </w:p>
    <w:p w14:paraId="45DEEB53" w14:textId="77777777" w:rsidR="00AB7A45" w:rsidRDefault="00AB7A45" w:rsidP="00AB7A45">
      <w:pPr>
        <w:pStyle w:val="Default"/>
        <w:rPr>
          <w:rFonts w:ascii="Arial" w:hAnsi="Arial" w:cs="Arial"/>
          <w:sz w:val="22"/>
          <w:szCs w:val="22"/>
        </w:rPr>
      </w:pPr>
    </w:p>
    <w:p w14:paraId="13F6B116" w14:textId="77777777" w:rsidR="00364E3F" w:rsidRDefault="00AB7A45" w:rsidP="00AB7A45">
      <w:r>
        <w:rPr>
          <w:rFonts w:ascii="Arial" w:hAnsi="Arial" w:cs="Arial"/>
        </w:rPr>
        <w:t>If a location has already produced some of these deliverables they may use the State funding for other work in support of progress on the decarbonization pathway. For example, if a location has already developed detailed cost estimates in response to Deliverable #2, the location could focus on advancing planning and design activities in support of future university approvals. Otherwise, at least part of the State funding must be used to produce all five deliverables recommended by the Pathways to a Fossil Free UC Task Force and in support of UC’s Sustainable Practices Policy.</w:t>
      </w:r>
    </w:p>
    <w:sectPr w:rsidR="0036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8BB"/>
    <w:multiLevelType w:val="hybridMultilevel"/>
    <w:tmpl w:val="9072C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92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45"/>
    <w:rsid w:val="000230C9"/>
    <w:rsid w:val="005702BE"/>
    <w:rsid w:val="008D2884"/>
    <w:rsid w:val="00AB7A45"/>
    <w:rsid w:val="00D94C1A"/>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FE72"/>
  <w15:chartTrackingRefBased/>
  <w15:docId w15:val="{E28DC774-A2AC-42E3-B58E-AD93256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A4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B7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A45"/>
    <w:rPr>
      <w:rFonts w:ascii="Segoe UI" w:hAnsi="Segoe UI" w:cs="Segoe UI"/>
      <w:sz w:val="18"/>
      <w:szCs w:val="18"/>
    </w:rPr>
  </w:style>
  <w:style w:type="paragraph" w:styleId="Revision">
    <w:name w:val="Revision"/>
    <w:hidden/>
    <w:uiPriority w:val="99"/>
    <w:semiHidden/>
    <w:rsid w:val="00D94C1A"/>
    <w:pPr>
      <w:spacing w:after="0" w:line="240" w:lineRule="auto"/>
    </w:pPr>
  </w:style>
  <w:style w:type="paragraph" w:styleId="ListParagraph">
    <w:name w:val="List Paragraph"/>
    <w:basedOn w:val="Normal"/>
    <w:uiPriority w:val="34"/>
    <w:qFormat/>
    <w:rsid w:val="00D94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524F8408A4546A92D6A37BCE03C84" ma:contentTypeVersion="15" ma:contentTypeDescription="Create a new document." ma:contentTypeScope="" ma:versionID="0d722dee13d3146aab8d7ab26e78e058">
  <xsd:schema xmlns:xsd="http://www.w3.org/2001/XMLSchema" xmlns:xs="http://www.w3.org/2001/XMLSchema" xmlns:p="http://schemas.microsoft.com/office/2006/metadata/properties" xmlns:ns3="ec5cd2c7-8c11-414e-9a34-1f8007e906c0" xmlns:ns4="943feb43-5326-4bdc-817b-1c702d061807" targetNamespace="http://schemas.microsoft.com/office/2006/metadata/properties" ma:root="true" ma:fieldsID="b65125e83dd24f85b9104ac5ef4aad58" ns3:_="" ns4:_="">
    <xsd:import namespace="ec5cd2c7-8c11-414e-9a34-1f8007e906c0"/>
    <xsd:import namespace="943feb43-5326-4bdc-817b-1c702d061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cd2c7-8c11-414e-9a34-1f8007e90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feb43-5326-4bdc-817b-1c702d061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c5cd2c7-8c11-414e-9a34-1f8007e906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F5FC7-4999-4BCC-8E06-C07577035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cd2c7-8c11-414e-9a34-1f8007e906c0"/>
    <ds:schemaRef ds:uri="943feb43-5326-4bdc-817b-1c702d061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F2AF1-53EB-49DB-850B-C2E8F071FD83}">
  <ds:schemaRefs>
    <ds:schemaRef ds:uri="http://schemas.microsoft.com/office/2006/documentManagement/types"/>
    <ds:schemaRef ds:uri="http://schemas.microsoft.com/office/2006/metadata/properties"/>
    <ds:schemaRef ds:uri="ec5cd2c7-8c11-414e-9a34-1f8007e906c0"/>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943feb43-5326-4bdc-817b-1c702d061807"/>
  </ds:schemaRefs>
</ds:datastoreItem>
</file>

<file path=customXml/itemProps3.xml><?xml version="1.0" encoding="utf-8"?>
<ds:datastoreItem xmlns:ds="http://schemas.openxmlformats.org/officeDocument/2006/customXml" ds:itemID="{E9FCCDB5-8E72-476A-AFF5-643DCF4B9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 Kirk</dc:creator>
  <cp:keywords/>
  <dc:description/>
  <cp:lastModifiedBy>Sarah Lisker</cp:lastModifiedBy>
  <cp:revision>2</cp:revision>
  <dcterms:created xsi:type="dcterms:W3CDTF">2023-06-21T00:39:00Z</dcterms:created>
  <dcterms:modified xsi:type="dcterms:W3CDTF">2023-06-21T00:39:00Z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0x01010073C524F8408A4546A92D6A37BCE03C84</vt:lpwstr>
  </property>
</Properties>
</file>