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3E" w:rsidRDefault="0036403E">
      <w:pPr>
        <w:pStyle w:val="Heading9"/>
        <w:widowControl/>
        <w:tabs>
          <w:tab w:val="clear" w:pos="-360"/>
        </w:tabs>
        <w:snapToGrid/>
      </w:pPr>
      <w:r>
        <w:t>I.</w:t>
      </w:r>
      <w:r>
        <w:tab/>
        <w:t>Audit Approach</w:t>
      </w:r>
    </w:p>
    <w:p w:rsidR="0036403E" w:rsidRDefault="0036403E">
      <w:pPr>
        <w:rPr>
          <w:sz w:val="24"/>
        </w:rPr>
      </w:pPr>
    </w:p>
    <w:p w:rsidR="00EF31CE" w:rsidRDefault="00EF31CE" w:rsidP="00EF31CE">
      <w:pPr>
        <w:autoSpaceDE w:val="0"/>
        <w:autoSpaceDN w:val="0"/>
        <w:adjustRightInd w:val="0"/>
        <w:ind w:left="720"/>
        <w:rPr>
          <w:sz w:val="24"/>
          <w:szCs w:val="24"/>
        </w:rPr>
      </w:pPr>
      <w:r w:rsidRPr="005105FE">
        <w:rPr>
          <w:sz w:val="24"/>
          <w:szCs w:val="24"/>
        </w:rPr>
        <w:t xml:space="preserve">This audit of IT Project Management will be approached from the perspective of the COSO </w:t>
      </w:r>
      <w:r>
        <w:rPr>
          <w:sz w:val="24"/>
          <w:szCs w:val="24"/>
        </w:rPr>
        <w:t xml:space="preserve">(Committee </w:t>
      </w:r>
      <w:proofErr w:type="gramStart"/>
      <w:r>
        <w:rPr>
          <w:sz w:val="24"/>
          <w:szCs w:val="24"/>
        </w:rPr>
        <w:t>Of</w:t>
      </w:r>
      <w:proofErr w:type="gramEnd"/>
      <w:r>
        <w:rPr>
          <w:sz w:val="24"/>
          <w:szCs w:val="24"/>
        </w:rPr>
        <w:t xml:space="preserve"> Sponsoring Organizations of the Treadway Commission) </w:t>
      </w:r>
      <w:r w:rsidRPr="005105FE">
        <w:rPr>
          <w:sz w:val="24"/>
          <w:szCs w:val="24"/>
        </w:rPr>
        <w:t xml:space="preserve">integrated internal control framework that has been adopted by the Regents. </w:t>
      </w:r>
      <w:r>
        <w:rPr>
          <w:sz w:val="24"/>
          <w:szCs w:val="24"/>
        </w:rPr>
        <w:t>Information for the audit program was also obtained as necessary from the Institute of Internal Auditor’s GTAG (Global Technology Audit Guide) #12 (</w:t>
      </w:r>
      <w:r>
        <w:rPr>
          <w:i/>
          <w:sz w:val="24"/>
          <w:szCs w:val="24"/>
        </w:rPr>
        <w:t xml:space="preserve">Auditing IT </w:t>
      </w:r>
      <w:r w:rsidRPr="0077032E">
        <w:rPr>
          <w:i/>
          <w:sz w:val="24"/>
          <w:szCs w:val="24"/>
        </w:rPr>
        <w:t>Projects</w:t>
      </w:r>
      <w:r>
        <w:rPr>
          <w:sz w:val="24"/>
          <w:szCs w:val="24"/>
        </w:rPr>
        <w:t>), the IT Governance Institute’s COBIT (Control OBjectives for Information and related Technology) framework—Process PO10 (</w:t>
      </w:r>
      <w:r>
        <w:rPr>
          <w:i/>
          <w:sz w:val="24"/>
          <w:szCs w:val="24"/>
        </w:rPr>
        <w:t>Manage Projects</w:t>
      </w:r>
      <w:r>
        <w:rPr>
          <w:sz w:val="24"/>
          <w:szCs w:val="24"/>
        </w:rPr>
        <w:t>)</w:t>
      </w:r>
      <w:r w:rsidR="00A321DC">
        <w:rPr>
          <w:sz w:val="24"/>
          <w:szCs w:val="24"/>
        </w:rPr>
        <w:t xml:space="preserve">, and the fourth edition of the Project Management Institute’s </w:t>
      </w:r>
      <w:r w:rsidR="00A321DC" w:rsidRPr="00A321DC">
        <w:rPr>
          <w:i/>
          <w:sz w:val="24"/>
          <w:szCs w:val="24"/>
        </w:rPr>
        <w:t>Project Management Body of Knowledge</w:t>
      </w:r>
      <w:r w:rsidR="00A321DC">
        <w:rPr>
          <w:sz w:val="24"/>
          <w:szCs w:val="24"/>
        </w:rPr>
        <w:t xml:space="preserve"> (Fourth Edition)</w:t>
      </w:r>
      <w:r>
        <w:rPr>
          <w:sz w:val="24"/>
          <w:szCs w:val="24"/>
        </w:rPr>
        <w:t>.</w:t>
      </w:r>
    </w:p>
    <w:p w:rsidR="00EF31CE" w:rsidRDefault="00EF31CE" w:rsidP="00EF31CE">
      <w:pPr>
        <w:autoSpaceDE w:val="0"/>
        <w:autoSpaceDN w:val="0"/>
        <w:adjustRightInd w:val="0"/>
        <w:ind w:left="720"/>
        <w:rPr>
          <w:sz w:val="24"/>
          <w:szCs w:val="24"/>
        </w:rPr>
      </w:pPr>
    </w:p>
    <w:p w:rsidR="00EF31CE" w:rsidRPr="005105FE" w:rsidRDefault="00EF31CE" w:rsidP="00EF31CE">
      <w:pPr>
        <w:autoSpaceDE w:val="0"/>
        <w:autoSpaceDN w:val="0"/>
        <w:adjustRightInd w:val="0"/>
        <w:ind w:left="720"/>
        <w:rPr>
          <w:sz w:val="24"/>
          <w:szCs w:val="24"/>
        </w:rPr>
      </w:pPr>
      <w:r w:rsidRPr="0077032E">
        <w:rPr>
          <w:sz w:val="24"/>
          <w:szCs w:val="24"/>
        </w:rPr>
        <w:t>Th</w:t>
      </w:r>
      <w:r>
        <w:rPr>
          <w:sz w:val="24"/>
          <w:szCs w:val="24"/>
        </w:rPr>
        <w:t>e COSO</w:t>
      </w:r>
      <w:r w:rsidRPr="005105FE">
        <w:rPr>
          <w:sz w:val="24"/>
          <w:szCs w:val="24"/>
        </w:rPr>
        <w:t xml:space="preserve"> framework </w:t>
      </w:r>
      <w:r>
        <w:rPr>
          <w:sz w:val="24"/>
          <w:szCs w:val="24"/>
        </w:rPr>
        <w:t xml:space="preserve">models </w:t>
      </w:r>
      <w:r w:rsidRPr="005105FE">
        <w:rPr>
          <w:sz w:val="24"/>
          <w:szCs w:val="24"/>
        </w:rPr>
        <w:t xml:space="preserve">internal control as a process, </w:t>
      </w:r>
      <w:proofErr w:type="gramStart"/>
      <w:r w:rsidRPr="005105FE">
        <w:rPr>
          <w:sz w:val="24"/>
          <w:szCs w:val="24"/>
        </w:rPr>
        <w:t>effected</w:t>
      </w:r>
      <w:proofErr w:type="gramEnd"/>
      <w:r w:rsidRPr="005105FE">
        <w:rPr>
          <w:sz w:val="24"/>
          <w:szCs w:val="24"/>
        </w:rPr>
        <w:t xml:space="preserve"> by an entity’s board of directors, management and other personnel, designed to provide reasonable assurance regarding the achievement of objectives in the following categories:</w:t>
      </w:r>
    </w:p>
    <w:p w:rsidR="00EF31CE" w:rsidRPr="005105FE" w:rsidRDefault="00EF31CE" w:rsidP="00EF31CE">
      <w:pPr>
        <w:autoSpaceDE w:val="0"/>
        <w:autoSpaceDN w:val="0"/>
        <w:adjustRightInd w:val="0"/>
        <w:ind w:left="1440"/>
        <w:rPr>
          <w:sz w:val="24"/>
          <w:szCs w:val="24"/>
        </w:rPr>
      </w:pPr>
    </w:p>
    <w:p w:rsidR="00EF31CE" w:rsidRPr="005105FE" w:rsidRDefault="00EF31CE" w:rsidP="00EF31CE">
      <w:pPr>
        <w:autoSpaceDE w:val="0"/>
        <w:autoSpaceDN w:val="0"/>
        <w:adjustRightInd w:val="0"/>
        <w:ind w:left="1440"/>
        <w:rPr>
          <w:sz w:val="24"/>
          <w:szCs w:val="24"/>
        </w:rPr>
      </w:pPr>
      <w:proofErr w:type="gramStart"/>
      <w:r w:rsidRPr="005105FE">
        <w:rPr>
          <w:sz w:val="24"/>
          <w:szCs w:val="24"/>
        </w:rPr>
        <w:t>● Effectiveness and efficiency of operations.</w:t>
      </w:r>
      <w:proofErr w:type="gramEnd"/>
    </w:p>
    <w:p w:rsidR="00EF31CE" w:rsidRPr="005105FE" w:rsidRDefault="00EF31CE" w:rsidP="00EF31CE">
      <w:pPr>
        <w:autoSpaceDE w:val="0"/>
        <w:autoSpaceDN w:val="0"/>
        <w:adjustRightInd w:val="0"/>
        <w:ind w:left="1440"/>
        <w:rPr>
          <w:sz w:val="24"/>
          <w:szCs w:val="24"/>
        </w:rPr>
      </w:pPr>
      <w:proofErr w:type="gramStart"/>
      <w:r w:rsidRPr="005105FE">
        <w:rPr>
          <w:sz w:val="24"/>
          <w:szCs w:val="24"/>
        </w:rPr>
        <w:t>● Reliability of financial reporting.</w:t>
      </w:r>
      <w:proofErr w:type="gramEnd"/>
    </w:p>
    <w:p w:rsidR="00EF31CE" w:rsidRPr="005105FE" w:rsidRDefault="00EF31CE" w:rsidP="00EF31CE">
      <w:pPr>
        <w:autoSpaceDE w:val="0"/>
        <w:autoSpaceDN w:val="0"/>
        <w:adjustRightInd w:val="0"/>
        <w:ind w:left="1440"/>
        <w:rPr>
          <w:sz w:val="24"/>
          <w:szCs w:val="24"/>
        </w:rPr>
      </w:pPr>
      <w:proofErr w:type="gramStart"/>
      <w:r w:rsidRPr="005105FE">
        <w:rPr>
          <w:sz w:val="24"/>
          <w:szCs w:val="24"/>
        </w:rPr>
        <w:t>● Compliance with applicable laws and regulations.</w:t>
      </w:r>
      <w:proofErr w:type="gramEnd"/>
    </w:p>
    <w:p w:rsidR="00EF31CE" w:rsidRPr="005105FE" w:rsidRDefault="00EF31CE" w:rsidP="00EF31CE">
      <w:pPr>
        <w:pStyle w:val="BodyText"/>
        <w:ind w:left="720"/>
        <w:jc w:val="both"/>
        <w:rPr>
          <w:szCs w:val="24"/>
        </w:rPr>
      </w:pPr>
    </w:p>
    <w:p w:rsidR="00EF31CE" w:rsidRDefault="004F69CE" w:rsidP="00EF31CE">
      <w:pPr>
        <w:autoSpaceDE w:val="0"/>
        <w:autoSpaceDN w:val="0"/>
        <w:adjustRightInd w:val="0"/>
        <w:ind w:left="720"/>
        <w:rPr>
          <w:rFonts w:ascii="TimesNewRoman" w:hAnsi="TimesNewRoman" w:cs="TimesNewRoman"/>
          <w:sz w:val="22"/>
          <w:szCs w:val="22"/>
        </w:rPr>
      </w:pPr>
      <w:r>
        <w:rPr>
          <w:sz w:val="24"/>
          <w:szCs w:val="24"/>
        </w:rPr>
        <w:t xml:space="preserve">The above objectives are one of three dimensions of internal control in the COSO framework. The other two dimensions are </w:t>
      </w:r>
      <w:r w:rsidR="00EF31CE">
        <w:rPr>
          <w:sz w:val="24"/>
          <w:szCs w:val="24"/>
        </w:rPr>
        <w:t>internal control elements (control environment, risk assessment, control activities, monitoring, and information and communication)</w:t>
      </w:r>
      <w:proofErr w:type="gramStart"/>
      <w:r w:rsidR="00EF31CE">
        <w:rPr>
          <w:sz w:val="24"/>
          <w:szCs w:val="24"/>
        </w:rPr>
        <w:t>;</w:t>
      </w:r>
      <w:proofErr w:type="gramEnd"/>
      <w:r w:rsidR="00EF31CE">
        <w:rPr>
          <w:sz w:val="24"/>
          <w:szCs w:val="24"/>
        </w:rPr>
        <w:t xml:space="preserve"> and an entity’s units or activities. </w:t>
      </w:r>
      <w:r w:rsidR="00EF31CE" w:rsidRPr="005105FE">
        <w:rPr>
          <w:sz w:val="24"/>
          <w:szCs w:val="24"/>
        </w:rPr>
        <w:t>With</w:t>
      </w:r>
      <w:r w:rsidR="00A321DC">
        <w:rPr>
          <w:sz w:val="24"/>
          <w:szCs w:val="24"/>
        </w:rPr>
        <w:t>in the</w:t>
      </w:r>
      <w:r w:rsidR="00EF31CE" w:rsidRPr="005105FE">
        <w:rPr>
          <w:sz w:val="24"/>
          <w:szCs w:val="24"/>
        </w:rPr>
        <w:t xml:space="preserve"> framework, </w:t>
      </w:r>
      <w:r w:rsidR="00EF31CE">
        <w:rPr>
          <w:sz w:val="24"/>
          <w:szCs w:val="24"/>
        </w:rPr>
        <w:t xml:space="preserve">internal auditors </w:t>
      </w:r>
      <w:proofErr w:type="gramStart"/>
      <w:r w:rsidR="00EF31CE">
        <w:rPr>
          <w:sz w:val="24"/>
          <w:szCs w:val="24"/>
        </w:rPr>
        <w:t>are envisioned</w:t>
      </w:r>
      <w:proofErr w:type="gramEnd"/>
      <w:r w:rsidR="00EF31CE">
        <w:rPr>
          <w:sz w:val="24"/>
          <w:szCs w:val="24"/>
        </w:rPr>
        <w:t xml:space="preserve"> as having the role of </w:t>
      </w:r>
      <w:r w:rsidR="00EF31CE">
        <w:rPr>
          <w:rFonts w:ascii="TimesNewRoman" w:hAnsi="TimesNewRoman" w:cs="TimesNewRoman"/>
          <w:sz w:val="22"/>
          <w:szCs w:val="22"/>
        </w:rPr>
        <w:t>evaluating the effectiveness of control systems and playing a monitoring role.</w:t>
      </w:r>
    </w:p>
    <w:p w:rsidR="00EF31CE" w:rsidRDefault="00EF31CE" w:rsidP="00EF31CE">
      <w:pPr>
        <w:autoSpaceDE w:val="0"/>
        <w:autoSpaceDN w:val="0"/>
        <w:adjustRightInd w:val="0"/>
        <w:ind w:left="720"/>
        <w:rPr>
          <w:rFonts w:ascii="TimesNewRoman" w:hAnsi="TimesNewRoman" w:cs="TimesNewRoman"/>
          <w:sz w:val="22"/>
          <w:szCs w:val="22"/>
        </w:rPr>
      </w:pPr>
    </w:p>
    <w:p w:rsidR="00EF31CE" w:rsidRDefault="00EF31CE" w:rsidP="00EF31CE">
      <w:pPr>
        <w:pStyle w:val="BodyText"/>
        <w:ind w:left="720"/>
        <w:jc w:val="both"/>
      </w:pPr>
      <w:proofErr w:type="gramStart"/>
      <w:r>
        <w:t xml:space="preserve">Based on COSO, for purposes of this audit IT Project Management is viewed as an organizational activity, the objectives of which are that (1) IT projects are operationally effective and use organizational resources efficiently; (2) </w:t>
      </w:r>
      <w:r w:rsidR="004F69CE">
        <w:t xml:space="preserve">IT </w:t>
      </w:r>
      <w:r>
        <w:t>project financial information is collected and processed in such a way that the reliability of overall financial reporting at the campus-, medical center-, or laboratory level is not adversely affected; and (3) IT projects adequately address compliance with laws and regulations as applicable.</w:t>
      </w:r>
      <w:proofErr w:type="gramEnd"/>
    </w:p>
    <w:p w:rsidR="00EF31CE" w:rsidRDefault="00EF31CE" w:rsidP="00EF31CE">
      <w:pPr>
        <w:pStyle w:val="BodyText"/>
        <w:ind w:left="720"/>
        <w:jc w:val="both"/>
      </w:pPr>
    </w:p>
    <w:p w:rsidR="004F69CE" w:rsidRDefault="00A321DC" w:rsidP="00EF31CE">
      <w:pPr>
        <w:pStyle w:val="BodyText"/>
        <w:ind w:left="720"/>
        <w:jc w:val="both"/>
      </w:pPr>
      <w:r>
        <w:t xml:space="preserve">Collectively, the sources referred to above </w:t>
      </w:r>
      <w:r w:rsidR="004F69CE">
        <w:t>identify</w:t>
      </w:r>
      <w:r>
        <w:t xml:space="preserve"> risks </w:t>
      </w:r>
      <w:r w:rsidR="009C3C96">
        <w:t xml:space="preserve">associated with the three objectives </w:t>
      </w:r>
      <w:r w:rsidR="004F69CE">
        <w:t>just listed</w:t>
      </w:r>
      <w:r w:rsidR="009C3C96">
        <w:t xml:space="preserve">, </w:t>
      </w:r>
      <w:r w:rsidR="004F69CE">
        <w:t xml:space="preserve">as well as </w:t>
      </w:r>
      <w:r w:rsidR="009C3C96">
        <w:t>risk-</w:t>
      </w:r>
      <w:r>
        <w:t>mitigating best practices</w:t>
      </w:r>
      <w:r w:rsidR="00EF31CE">
        <w:t>. Accordingly, this audit consists of two parts</w:t>
      </w:r>
      <w:r w:rsidR="004F69CE">
        <w:t xml:space="preserve">. The first is </w:t>
      </w:r>
      <w:r w:rsidR="00EF31CE">
        <w:t>an overview and risk assessment</w:t>
      </w:r>
      <w:r w:rsidR="004F69CE">
        <w:t>. The overview’s pur</w:t>
      </w:r>
      <w:r w:rsidR="00EF31CE">
        <w:t>pose is to iden</w:t>
      </w:r>
      <w:r w:rsidR="004F69CE">
        <w:t xml:space="preserve">tify </w:t>
      </w:r>
      <w:r w:rsidR="008D64CC">
        <w:t xml:space="preserve">the existing audit population of IT projects, and, with respect to that population, to determine the extent to which risk-mitigating best practices are established. Based on this information, a judgment </w:t>
      </w:r>
      <w:r w:rsidR="00EA38FB">
        <w:t>is then to</w:t>
      </w:r>
      <w:r w:rsidR="008D64CC">
        <w:t xml:space="preserve"> </w:t>
      </w:r>
      <w:proofErr w:type="gramStart"/>
      <w:r w:rsidR="008D64CC">
        <w:t>be made</w:t>
      </w:r>
      <w:proofErr w:type="gramEnd"/>
      <w:r w:rsidR="008D64CC">
        <w:t xml:space="preserve"> as to the level of residual risk</w:t>
      </w:r>
      <w:r w:rsidR="00EA38FB">
        <w:t xml:space="preserve"> of project failure</w:t>
      </w:r>
      <w:r w:rsidR="004F69CE">
        <w:t>.</w:t>
      </w:r>
    </w:p>
    <w:p w:rsidR="004F69CE" w:rsidRDefault="004F69CE" w:rsidP="00EF31CE">
      <w:pPr>
        <w:pStyle w:val="BodyText"/>
        <w:ind w:left="720"/>
        <w:jc w:val="both"/>
      </w:pPr>
    </w:p>
    <w:p w:rsidR="008D64CC" w:rsidRDefault="004F69CE" w:rsidP="00EF31CE">
      <w:pPr>
        <w:pStyle w:val="BodyText"/>
        <w:ind w:left="720"/>
        <w:jc w:val="both"/>
      </w:pPr>
      <w:r>
        <w:lastRenderedPageBreak/>
        <w:t>The outcome of the overview and risk assessment will determine the nature and extent of work in the second part, which is a</w:t>
      </w:r>
      <w:r w:rsidR="008D64CC">
        <w:t>n optional</w:t>
      </w:r>
      <w:r>
        <w:t xml:space="preserve"> </w:t>
      </w:r>
      <w:r w:rsidR="008D64CC">
        <w:t xml:space="preserve">(subject to auditor judgment) </w:t>
      </w:r>
      <w:r>
        <w:t>detailed evaluation</w:t>
      </w:r>
      <w:r w:rsidR="008D64CC">
        <w:t xml:space="preserve">. </w:t>
      </w:r>
    </w:p>
    <w:p w:rsidR="00EF31CE" w:rsidRDefault="00EF31CE" w:rsidP="00EF31CE">
      <w:pPr>
        <w:pStyle w:val="BodyText"/>
        <w:ind w:left="720"/>
        <w:jc w:val="both"/>
      </w:pPr>
    </w:p>
    <w:p w:rsidR="0036403E" w:rsidRDefault="0036403E">
      <w:pPr>
        <w:rPr>
          <w:color w:val="FF0000"/>
          <w:sz w:val="24"/>
        </w:rPr>
      </w:pPr>
      <w:r>
        <w:rPr>
          <w:b/>
          <w:bCs/>
          <w:sz w:val="24"/>
        </w:rPr>
        <w:t xml:space="preserve">II. </w:t>
      </w:r>
      <w:r>
        <w:rPr>
          <w:b/>
          <w:bCs/>
          <w:sz w:val="24"/>
        </w:rPr>
        <w:tab/>
        <w:t>General Overview and Risk Assessment</w:t>
      </w:r>
      <w:r w:rsidR="00707ACC">
        <w:rPr>
          <w:b/>
          <w:bCs/>
          <w:sz w:val="24"/>
        </w:rPr>
        <w:t xml:space="preserve"> (required)</w:t>
      </w:r>
    </w:p>
    <w:p w:rsidR="0036403E" w:rsidRDefault="0036403E">
      <w:pPr>
        <w:rPr>
          <w:sz w:val="24"/>
        </w:rPr>
      </w:pPr>
    </w:p>
    <w:p w:rsidR="00D65407" w:rsidRDefault="00D65407" w:rsidP="00D65407">
      <w:pPr>
        <w:pStyle w:val="BodyTextIndent2"/>
        <w:numPr>
          <w:ilvl w:val="0"/>
          <w:numId w:val="17"/>
        </w:numPr>
        <w:jc w:val="both"/>
      </w:pPr>
      <w:r>
        <w:t xml:space="preserve">Identify the population to </w:t>
      </w:r>
      <w:proofErr w:type="gramStart"/>
      <w:r>
        <w:t>be audited</w:t>
      </w:r>
      <w:proofErr w:type="gramEnd"/>
      <w:r>
        <w:t xml:space="preserve">. Suggested criteria: </w:t>
      </w:r>
      <w:r w:rsidR="00232990">
        <w:t>those</w:t>
      </w:r>
      <w:r>
        <w:t xml:space="preserve"> projects completed with</w:t>
      </w:r>
      <w:r w:rsidR="008D64CC">
        <w:t>in</w:t>
      </w:r>
      <w:r>
        <w:t xml:space="preserve"> the most recent two-year period that primarily invol</w:t>
      </w:r>
      <w:r w:rsidR="00707ACC">
        <w:t xml:space="preserve">ve acquisition, development, </w:t>
      </w:r>
      <w:r>
        <w:t>maintenance of, or change to, an electronic information system, and whose impact extends to an entire campus, medical center, or laboratory.</w:t>
      </w:r>
    </w:p>
    <w:p w:rsidR="00707ACC" w:rsidRDefault="00707ACC" w:rsidP="00707ACC">
      <w:pPr>
        <w:pStyle w:val="BodyTextIndent2"/>
        <w:ind w:left="1080"/>
        <w:jc w:val="both"/>
      </w:pPr>
    </w:p>
    <w:p w:rsidR="00D65407" w:rsidRDefault="00D65407" w:rsidP="00D65407">
      <w:pPr>
        <w:pStyle w:val="BodyTextIndent2"/>
        <w:numPr>
          <w:ilvl w:val="0"/>
          <w:numId w:val="17"/>
        </w:numPr>
        <w:jc w:val="both"/>
      </w:pPr>
      <w:r>
        <w:t xml:space="preserve">Use the template embedded below to </w:t>
      </w:r>
      <w:r w:rsidR="00EA38FB">
        <w:t xml:space="preserve">help </w:t>
      </w:r>
      <w:r>
        <w:t>identify existing control practices with respect to the audit population</w:t>
      </w:r>
      <w:r w:rsidR="00707ACC">
        <w:t xml:space="preserve"> as a whole</w:t>
      </w:r>
      <w:r>
        <w:t>, in comparison with best practice, and</w:t>
      </w:r>
      <w:r w:rsidR="00707ACC">
        <w:t>,</w:t>
      </w:r>
      <w:r>
        <w:t xml:space="preserve"> </w:t>
      </w:r>
      <w:r w:rsidR="008D64CC">
        <w:t xml:space="preserve">based on this information, </w:t>
      </w:r>
      <w:r>
        <w:t xml:space="preserve">to record a judgment as to </w:t>
      </w:r>
      <w:r w:rsidR="008D64CC">
        <w:t xml:space="preserve">the level of </w:t>
      </w:r>
      <w:r>
        <w:t>residual risk</w:t>
      </w:r>
      <w:r w:rsidR="00EA38FB">
        <w:t xml:space="preserve"> of project failure generally</w:t>
      </w:r>
      <w:r>
        <w:t>.</w:t>
      </w:r>
      <w:r w:rsidR="00EA38FB">
        <w:t xml:space="preserve"> It </w:t>
      </w:r>
      <w:proofErr w:type="gramStart"/>
      <w:r w:rsidR="00EA38FB">
        <w:t>is suggested</w:t>
      </w:r>
      <w:proofErr w:type="gramEnd"/>
      <w:r w:rsidR="00EA38FB">
        <w:t xml:space="preserve"> that the template’s control content be shared with cognizant management as a basis for inquiry</w:t>
      </w:r>
      <w:r w:rsidR="002373DF">
        <w:t>, in lieu of a traditional internal control questionnaire</w:t>
      </w:r>
      <w:r w:rsidR="00EA38FB">
        <w:t>.</w:t>
      </w:r>
    </w:p>
    <w:p w:rsidR="00707ACC" w:rsidRDefault="00707ACC" w:rsidP="00707ACC">
      <w:pPr>
        <w:pStyle w:val="ListParagraph"/>
      </w:pPr>
    </w:p>
    <w:bookmarkStart w:id="0" w:name="_MON_1330500826"/>
    <w:bookmarkEnd w:id="0"/>
    <w:p w:rsidR="00D65407" w:rsidRDefault="00EA0BC3" w:rsidP="00F807C2">
      <w:pPr>
        <w:pStyle w:val="BodyTextIndent2"/>
        <w:ind w:left="1080"/>
        <w:jc w:val="both"/>
      </w:pPr>
      <w:r>
        <w:object w:dxaOrig="1535"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Excel.Sheet.8" ShapeID="_x0000_i1025" DrawAspect="Icon" ObjectID="_1393155425" r:id="rId8"/>
        </w:object>
      </w:r>
    </w:p>
    <w:p w:rsidR="00D65407" w:rsidRDefault="00D65407" w:rsidP="00270E53">
      <w:pPr>
        <w:pStyle w:val="BodyTextIndent2"/>
        <w:jc w:val="both"/>
      </w:pPr>
    </w:p>
    <w:p w:rsidR="00270E53" w:rsidRDefault="00270E53" w:rsidP="00270E53">
      <w:pPr>
        <w:pStyle w:val="BodyTextIndent2"/>
        <w:jc w:val="both"/>
      </w:pPr>
      <w:r>
        <w:t xml:space="preserve">Subject to auditor judgment, if the results of the overview and risk assessment are enough to enable a dialog about recommendations and corrective action in agreement with management, or enable a conclusion that residual risk is low, further audit work need not be performed. On the other hand, if the results of the overview and risk assessment do not have this outcome, detailed evaluation </w:t>
      </w:r>
      <w:proofErr w:type="gramStart"/>
      <w:r>
        <w:t>should be performed</w:t>
      </w:r>
      <w:proofErr w:type="gramEnd"/>
      <w:r>
        <w:t>.</w:t>
      </w:r>
    </w:p>
    <w:p w:rsidR="00270E53" w:rsidRDefault="00270E53" w:rsidP="00270E53">
      <w:pPr>
        <w:pStyle w:val="BodyTextIndent2"/>
        <w:jc w:val="both"/>
      </w:pPr>
    </w:p>
    <w:p w:rsidR="00232990" w:rsidRDefault="00D65407" w:rsidP="00232990">
      <w:pPr>
        <w:pStyle w:val="BodyTextIndent2"/>
        <w:ind w:left="0"/>
        <w:jc w:val="both"/>
        <w:rPr>
          <w:b/>
        </w:rPr>
      </w:pPr>
      <w:r>
        <w:rPr>
          <w:b/>
        </w:rPr>
        <w:t>III.</w:t>
      </w:r>
      <w:r>
        <w:rPr>
          <w:b/>
        </w:rPr>
        <w:tab/>
        <w:t>Detailed Evaluation</w:t>
      </w:r>
      <w:r w:rsidR="00270E53">
        <w:rPr>
          <w:b/>
        </w:rPr>
        <w:t xml:space="preserve"> (if deemed necessary)</w:t>
      </w:r>
    </w:p>
    <w:p w:rsidR="00707ACC" w:rsidRDefault="00707ACC" w:rsidP="00707ACC">
      <w:pPr>
        <w:pStyle w:val="BodyTextIndent2"/>
        <w:jc w:val="both"/>
        <w:rPr>
          <w:b/>
        </w:rPr>
      </w:pPr>
    </w:p>
    <w:p w:rsidR="00270E53" w:rsidRDefault="00270E53" w:rsidP="00270E53">
      <w:pPr>
        <w:pStyle w:val="BodyTextIndent2"/>
        <w:numPr>
          <w:ilvl w:val="0"/>
          <w:numId w:val="22"/>
        </w:numPr>
        <w:jc w:val="both"/>
        <w:rPr>
          <w:b/>
        </w:rPr>
      </w:pPr>
      <w:r w:rsidRPr="00270E53">
        <w:rPr>
          <w:b/>
        </w:rPr>
        <w:t>Option 1: Further Control Verification</w:t>
      </w:r>
    </w:p>
    <w:p w:rsidR="00270E53" w:rsidRPr="00270E53" w:rsidRDefault="00270E53" w:rsidP="00270E53">
      <w:pPr>
        <w:pStyle w:val="BodyTextIndent2"/>
        <w:ind w:left="1080"/>
        <w:jc w:val="both"/>
      </w:pPr>
      <w:r>
        <w:t xml:space="preserve">If the overview and risk assessment indicated the presence of risk-mitigating best practices, but there remains some uncertainty as to the degree to which the asserted practices are actually operational, consider conducting further inquiry as necessary </w:t>
      </w:r>
      <w:proofErr w:type="gramStart"/>
      <w:r>
        <w:t>to conclusively determine</w:t>
      </w:r>
      <w:proofErr w:type="gramEnd"/>
      <w:r>
        <w:t xml:space="preserve"> their status. To conduct this inquiry, pick a sample of the control conditions in the overview and risk assessment template on which to focus this additional effort, </w:t>
      </w:r>
      <w:proofErr w:type="gramStart"/>
      <w:r>
        <w:t>and  seek</w:t>
      </w:r>
      <w:proofErr w:type="gramEnd"/>
      <w:r>
        <w:t xml:space="preserve"> additional evidence of their operational status as circumstances warrant.</w:t>
      </w:r>
    </w:p>
    <w:p w:rsidR="00270E53" w:rsidRDefault="00270E53" w:rsidP="00270E53">
      <w:pPr>
        <w:pStyle w:val="BodyTextIndent2"/>
        <w:ind w:left="1080"/>
        <w:jc w:val="both"/>
      </w:pPr>
    </w:p>
    <w:p w:rsidR="00270E53" w:rsidRDefault="00270E53" w:rsidP="00270E53">
      <w:pPr>
        <w:pStyle w:val="BodyTextIndent2"/>
        <w:numPr>
          <w:ilvl w:val="0"/>
          <w:numId w:val="22"/>
        </w:numPr>
        <w:jc w:val="both"/>
        <w:rPr>
          <w:b/>
        </w:rPr>
      </w:pPr>
      <w:r>
        <w:rPr>
          <w:b/>
        </w:rPr>
        <w:t>Option 2: Testing of Individual IT Projects</w:t>
      </w:r>
    </w:p>
    <w:p w:rsidR="00707ACC" w:rsidRDefault="00270E53" w:rsidP="00270E53">
      <w:pPr>
        <w:pStyle w:val="BodyTextIndent2"/>
        <w:ind w:left="1080"/>
        <w:jc w:val="both"/>
      </w:pPr>
      <w:r>
        <w:t xml:space="preserve">If the overview and risk assessment indicated control insufficiency, but there was not agreement with </w:t>
      </w:r>
      <w:proofErr w:type="gramStart"/>
      <w:r>
        <w:t>cognizant</w:t>
      </w:r>
      <w:proofErr w:type="gramEnd"/>
      <w:r>
        <w:t xml:space="preserve"> management about this insufficiency or about possible </w:t>
      </w:r>
      <w:r>
        <w:lastRenderedPageBreak/>
        <w:t xml:space="preserve">corrective action, consider detailed testing of individual IT projects. To conduct this testing, </w:t>
      </w:r>
      <w:r w:rsidR="00707ACC">
        <w:t xml:space="preserve">apply criteria from the GTAG matrix embedded below, as necessary, to a sample of the audit population of IT projects, to </w:t>
      </w:r>
      <w:r>
        <w:t xml:space="preserve">help </w:t>
      </w:r>
      <w:r w:rsidR="00707ACC">
        <w:t>determine the extent to which they:</w:t>
      </w:r>
    </w:p>
    <w:p w:rsidR="00707ACC" w:rsidRDefault="00707ACC" w:rsidP="00707ACC">
      <w:pPr>
        <w:pStyle w:val="BodyTextIndent2"/>
        <w:jc w:val="both"/>
      </w:pPr>
    </w:p>
    <w:p w:rsidR="00707ACC" w:rsidRDefault="00707ACC" w:rsidP="00707ACC">
      <w:pPr>
        <w:pStyle w:val="BodyTextIndent2"/>
        <w:numPr>
          <w:ilvl w:val="0"/>
          <w:numId w:val="21"/>
        </w:numPr>
        <w:jc w:val="both"/>
      </w:pPr>
      <w:r>
        <w:t>achieved their objectives;</w:t>
      </w:r>
    </w:p>
    <w:p w:rsidR="00707ACC" w:rsidRDefault="00707ACC" w:rsidP="00707ACC">
      <w:pPr>
        <w:pStyle w:val="BodyTextIndent2"/>
        <w:numPr>
          <w:ilvl w:val="0"/>
          <w:numId w:val="21"/>
        </w:numPr>
        <w:jc w:val="both"/>
      </w:pPr>
      <w:r>
        <w:t xml:space="preserve">were concluded timely; </w:t>
      </w:r>
    </w:p>
    <w:p w:rsidR="00707ACC" w:rsidRDefault="00707ACC" w:rsidP="00707ACC">
      <w:pPr>
        <w:pStyle w:val="BodyTextIndent2"/>
        <w:numPr>
          <w:ilvl w:val="0"/>
          <w:numId w:val="21"/>
        </w:numPr>
        <w:jc w:val="both"/>
      </w:pPr>
      <w:r>
        <w:t>were concluded within their established budget; and</w:t>
      </w:r>
    </w:p>
    <w:p w:rsidR="00707ACC" w:rsidRDefault="00707ACC" w:rsidP="00707ACC">
      <w:pPr>
        <w:pStyle w:val="BodyTextIndent2"/>
        <w:numPr>
          <w:ilvl w:val="0"/>
          <w:numId w:val="21"/>
        </w:numPr>
        <w:jc w:val="both"/>
      </w:pPr>
      <w:proofErr w:type="gramStart"/>
      <w:r>
        <w:t>were</w:t>
      </w:r>
      <w:proofErr w:type="gramEnd"/>
      <w:r>
        <w:t xml:space="preserve"> concluded without adverse organizational </w:t>
      </w:r>
      <w:r w:rsidR="00EA38FB">
        <w:t xml:space="preserve">or operational </w:t>
      </w:r>
      <w:r>
        <w:t>side-effects.</w:t>
      </w:r>
    </w:p>
    <w:p w:rsidR="00707ACC" w:rsidRDefault="00707ACC" w:rsidP="00707ACC">
      <w:pPr>
        <w:pStyle w:val="BodyTextIndent2"/>
        <w:jc w:val="both"/>
      </w:pPr>
    </w:p>
    <w:p w:rsidR="00707ACC" w:rsidRDefault="00707ACC" w:rsidP="00707ACC">
      <w:pPr>
        <w:pStyle w:val="BodyTextIndent2"/>
        <w:jc w:val="both"/>
      </w:pPr>
    </w:p>
    <w:bookmarkStart w:id="1" w:name="_MON_1330500856"/>
    <w:bookmarkEnd w:id="1"/>
    <w:p w:rsidR="00707ACC" w:rsidRDefault="00EA0BC3" w:rsidP="00707ACC">
      <w:pPr>
        <w:pStyle w:val="BodyTextIndent2"/>
        <w:jc w:val="both"/>
      </w:pPr>
      <w:r>
        <w:object w:dxaOrig="1535" w:dyaOrig="996">
          <v:shape id="_x0000_i1026" type="#_x0000_t75" style="width:76.5pt;height:49.5pt" o:ole="">
            <v:imagedata r:id="rId9" o:title=""/>
          </v:shape>
          <o:OLEObject Type="Embed" ProgID="Excel.Sheet.8" ShapeID="_x0000_i1026" DrawAspect="Icon" ObjectID="_1393155426" r:id="rId10"/>
        </w:object>
      </w:r>
    </w:p>
    <w:sectPr w:rsidR="00707ACC">
      <w:headerReference w:type="default" r:id="rId11"/>
      <w:footerReference w:type="default" r:id="rId12"/>
      <w:pgSz w:w="12240" w:h="15840" w:code="1"/>
      <w:pgMar w:top="1440" w:right="1440" w:bottom="1296" w:left="1440" w:header="10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FCC" w:rsidRDefault="000D0FCC">
      <w:r>
        <w:separator/>
      </w:r>
    </w:p>
  </w:endnote>
  <w:endnote w:type="continuationSeparator" w:id="0">
    <w:p w:rsidR="000D0FCC" w:rsidRDefault="000D0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3E" w:rsidRDefault="0036403E">
    <w:pPr>
      <w:pStyle w:val="Footer"/>
      <w:jc w:val="right"/>
    </w:pPr>
    <w:r>
      <w:t xml:space="preserve">Page </w:t>
    </w:r>
    <w:fldSimple w:instr=" PAGE ">
      <w:r w:rsidR="00C2495E">
        <w:rPr>
          <w:noProof/>
        </w:rPr>
        <w:t>1</w:t>
      </w:r>
    </w:fldSimple>
    <w:r>
      <w:t xml:space="preserve"> of </w:t>
    </w:r>
    <w:fldSimple w:instr=" NUMPAGES ">
      <w:r w:rsidR="00C2495E">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FCC" w:rsidRDefault="000D0FCC">
      <w:r>
        <w:separator/>
      </w:r>
    </w:p>
  </w:footnote>
  <w:footnote w:type="continuationSeparator" w:id="0">
    <w:p w:rsidR="000D0FCC" w:rsidRDefault="000D0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3E" w:rsidRDefault="0036403E">
    <w:pPr>
      <w:pStyle w:val="Header"/>
      <w:jc w:val="center"/>
      <w:rPr>
        <w:b/>
        <w:sz w:val="28"/>
      </w:rPr>
    </w:pPr>
    <w:r>
      <w:rPr>
        <w:b/>
        <w:sz w:val="28"/>
      </w:rPr>
      <w:t xml:space="preserve">UC Audit Program </w:t>
    </w:r>
  </w:p>
  <w:p w:rsidR="0036403E" w:rsidRDefault="00EF31CE">
    <w:pPr>
      <w:pStyle w:val="Header"/>
      <w:jc w:val="center"/>
      <w:rPr>
        <w:b/>
        <w:sz w:val="28"/>
      </w:rPr>
    </w:pPr>
    <w:r>
      <w:rPr>
        <w:b/>
        <w:sz w:val="28"/>
      </w:rPr>
      <w:t>Information Technology (IT) Project Management</w:t>
    </w:r>
  </w:p>
  <w:p w:rsidR="0036403E" w:rsidRDefault="0036403E">
    <w:pPr>
      <w:pStyle w:val="Header"/>
      <w:jc w:val="center"/>
      <w:rPr>
        <w:b/>
        <w:sz w:val="28"/>
      </w:rPr>
    </w:pPr>
  </w:p>
  <w:p w:rsidR="0036403E" w:rsidRDefault="0036403E">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38D6908"/>
    <w:multiLevelType w:val="hybridMultilevel"/>
    <w:tmpl w:val="2C203674"/>
    <w:lvl w:ilvl="0" w:tplc="9DCE652E">
      <w:start w:val="2"/>
      <w:numFmt w:val="upperLetter"/>
      <w:lvlText w:val="%1."/>
      <w:lvlJc w:val="left"/>
      <w:pPr>
        <w:tabs>
          <w:tab w:val="num" w:pos="720"/>
        </w:tabs>
        <w:ind w:left="504" w:hanging="14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3B0B6A"/>
    <w:multiLevelType w:val="hybridMultilevel"/>
    <w:tmpl w:val="7AA6B306"/>
    <w:lvl w:ilvl="0" w:tplc="25406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EB0773"/>
    <w:multiLevelType w:val="hybridMultilevel"/>
    <w:tmpl w:val="EBE091AE"/>
    <w:lvl w:ilvl="0" w:tplc="04090001">
      <w:start w:val="1"/>
      <w:numFmt w:val="bullet"/>
      <w:lvlText w:val=""/>
      <w:lvlJc w:val="left"/>
      <w:pPr>
        <w:tabs>
          <w:tab w:val="num" w:pos="720"/>
        </w:tabs>
        <w:ind w:left="720" w:hanging="360"/>
      </w:pPr>
      <w:rPr>
        <w:rFonts w:ascii="Symbol" w:hAnsi="Symbol" w:hint="default"/>
        <w:color w:val="auto"/>
      </w:rPr>
    </w:lvl>
    <w:lvl w:ilvl="1" w:tplc="7E7E3B82">
      <w:start w:val="2"/>
      <w:numFmt w:val="upperLetter"/>
      <w:lvlText w:val="%2."/>
      <w:lvlJc w:val="left"/>
      <w:pPr>
        <w:tabs>
          <w:tab w:val="num" w:pos="1500"/>
        </w:tabs>
        <w:ind w:left="1284" w:hanging="144"/>
      </w:pPr>
      <w:rPr>
        <w:rFonts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CD26B8B"/>
    <w:multiLevelType w:val="hybridMultilevel"/>
    <w:tmpl w:val="F8186022"/>
    <w:lvl w:ilvl="0" w:tplc="7C960EE0">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F8B4B28"/>
    <w:multiLevelType w:val="hybridMultilevel"/>
    <w:tmpl w:val="233E44A4"/>
    <w:lvl w:ilvl="0" w:tplc="04090001">
      <w:start w:val="1"/>
      <w:numFmt w:val="bullet"/>
      <w:lvlText w:val=""/>
      <w:lvlJc w:val="left"/>
      <w:pPr>
        <w:tabs>
          <w:tab w:val="num" w:pos="840"/>
        </w:tabs>
        <w:ind w:left="840" w:hanging="360"/>
      </w:pPr>
      <w:rPr>
        <w:rFonts w:ascii="Symbol" w:hAnsi="Symbol" w:hint="default"/>
      </w:rPr>
    </w:lvl>
    <w:lvl w:ilvl="1" w:tplc="0409000F">
      <w:start w:val="1"/>
      <w:numFmt w:val="decimal"/>
      <w:lvlText w:val="%2."/>
      <w:lvlJc w:val="left"/>
      <w:pPr>
        <w:tabs>
          <w:tab w:val="num" w:pos="1560"/>
        </w:tabs>
        <w:ind w:left="1560" w:hanging="360"/>
      </w:pPr>
    </w:lvl>
    <w:lvl w:ilvl="2" w:tplc="AFE67844">
      <w:start w:val="1"/>
      <w:numFmt w:val="upperLetter"/>
      <w:lvlText w:val="%3."/>
      <w:lvlJc w:val="left"/>
      <w:pPr>
        <w:tabs>
          <w:tab w:val="num" w:pos="2640"/>
        </w:tabs>
        <w:ind w:left="2640" w:hanging="720"/>
      </w:pPr>
      <w:rPr>
        <w:rFont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27094EA1"/>
    <w:multiLevelType w:val="hybridMultilevel"/>
    <w:tmpl w:val="73C81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F93ECB"/>
    <w:multiLevelType w:val="hybridMultilevel"/>
    <w:tmpl w:val="55528F78"/>
    <w:lvl w:ilvl="0" w:tplc="089ED8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E54863"/>
    <w:multiLevelType w:val="hybridMultilevel"/>
    <w:tmpl w:val="04B05734"/>
    <w:lvl w:ilvl="0" w:tplc="3AC4C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A45B40"/>
    <w:multiLevelType w:val="hybridMultilevel"/>
    <w:tmpl w:val="6BE47C86"/>
    <w:lvl w:ilvl="0" w:tplc="04B26B8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5A35C0C"/>
    <w:multiLevelType w:val="hybridMultilevel"/>
    <w:tmpl w:val="69F8C2C6"/>
    <w:lvl w:ilvl="0" w:tplc="9F74C1DE">
      <w:start w:val="2"/>
      <w:numFmt w:val="upperLetter"/>
      <w:lvlText w:val="%1."/>
      <w:lvlJc w:val="left"/>
      <w:pPr>
        <w:tabs>
          <w:tab w:val="num" w:pos="1080"/>
        </w:tabs>
        <w:ind w:left="1080" w:hanging="360"/>
      </w:pPr>
      <w:rPr>
        <w:rFonts w:hint="default"/>
      </w:rPr>
    </w:lvl>
    <w:lvl w:ilvl="1" w:tplc="F4449234">
      <w:start w:val="4"/>
      <w:numFmt w:val="lowerLetter"/>
      <w:lvlText w:val="%2."/>
      <w:lvlJc w:val="left"/>
      <w:pPr>
        <w:tabs>
          <w:tab w:val="num" w:pos="2160"/>
        </w:tabs>
        <w:ind w:left="2160" w:hanging="720"/>
      </w:pPr>
      <w:rPr>
        <w:rFonts w:hint="default"/>
      </w:rPr>
    </w:lvl>
    <w:lvl w:ilvl="2" w:tplc="525C05DC">
      <w:start w:val="2"/>
      <w:numFmt w:val="lowerLetter"/>
      <w:lvlText w:val="%3."/>
      <w:lvlJc w:val="left"/>
      <w:pPr>
        <w:tabs>
          <w:tab w:val="num" w:pos="3060"/>
        </w:tabs>
        <w:ind w:left="3060" w:hanging="720"/>
      </w:pPr>
      <w:rPr>
        <w:rFonts w:hint="default"/>
      </w:rPr>
    </w:lvl>
    <w:lvl w:ilvl="3" w:tplc="999EC004">
      <w:start w:val="1"/>
      <w:numFmt w:val="decimal"/>
      <w:lvlText w:val="%4."/>
      <w:lvlJc w:val="left"/>
      <w:pPr>
        <w:tabs>
          <w:tab w:val="num" w:pos="3240"/>
        </w:tabs>
        <w:ind w:left="3240" w:hanging="360"/>
      </w:pPr>
      <w:rPr>
        <w:rFonts w:hint="default"/>
      </w:rPr>
    </w:lvl>
    <w:lvl w:ilvl="4" w:tplc="C658A8FC">
      <w:start w:val="2"/>
      <w:numFmt w:val="lowerLetter"/>
      <w:lvlText w:val="%5."/>
      <w:lvlJc w:val="left"/>
      <w:pPr>
        <w:tabs>
          <w:tab w:val="num" w:pos="4110"/>
        </w:tabs>
        <w:ind w:left="4110" w:hanging="51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8430F57"/>
    <w:multiLevelType w:val="hybridMultilevel"/>
    <w:tmpl w:val="DC4626CE"/>
    <w:lvl w:ilvl="0" w:tplc="67D0159C">
      <w:start w:val="2"/>
      <w:numFmt w:val="upperLetter"/>
      <w:lvlText w:val="%1."/>
      <w:lvlJc w:val="left"/>
      <w:pPr>
        <w:tabs>
          <w:tab w:val="num" w:pos="780"/>
        </w:tabs>
        <w:ind w:left="564" w:hanging="144"/>
      </w:pPr>
      <w:rPr>
        <w:rFonts w:hint="default"/>
        <w:color w:val="auto"/>
      </w:rPr>
    </w:lvl>
    <w:lvl w:ilvl="1" w:tplc="0409000F">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9E37DD"/>
    <w:multiLevelType w:val="hybridMultilevel"/>
    <w:tmpl w:val="BB8A35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51210FD"/>
    <w:multiLevelType w:val="hybridMultilevel"/>
    <w:tmpl w:val="DC040400"/>
    <w:lvl w:ilvl="0" w:tplc="25B4B818">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6A1E2E"/>
    <w:multiLevelType w:val="hybridMultilevel"/>
    <w:tmpl w:val="2FE6FAA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74E2E02"/>
    <w:multiLevelType w:val="hybridMultilevel"/>
    <w:tmpl w:val="2EDAAE34"/>
    <w:lvl w:ilvl="0" w:tplc="65F02D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7D0307"/>
    <w:multiLevelType w:val="hybridMultilevel"/>
    <w:tmpl w:val="E9982218"/>
    <w:lvl w:ilvl="0" w:tplc="A30439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DA73CE"/>
    <w:multiLevelType w:val="hybridMultilevel"/>
    <w:tmpl w:val="0784A60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nsid w:val="69FF1D91"/>
    <w:multiLevelType w:val="hybridMultilevel"/>
    <w:tmpl w:val="EB9EB5E2"/>
    <w:lvl w:ilvl="0" w:tplc="6C403D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266F22"/>
    <w:multiLevelType w:val="hybridMultilevel"/>
    <w:tmpl w:val="8FE6EB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F376768"/>
    <w:multiLevelType w:val="hybridMultilevel"/>
    <w:tmpl w:val="8DA2E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DA282C"/>
    <w:multiLevelType w:val="hybridMultilevel"/>
    <w:tmpl w:val="BC580FF2"/>
    <w:lvl w:ilvl="0" w:tplc="04090001">
      <w:start w:val="1"/>
      <w:numFmt w:val="bullet"/>
      <w:lvlText w:val=""/>
      <w:lvlJc w:val="left"/>
      <w:pPr>
        <w:tabs>
          <w:tab w:val="num" w:pos="720"/>
        </w:tabs>
        <w:ind w:left="720" w:hanging="360"/>
      </w:pPr>
      <w:rPr>
        <w:rFonts w:ascii="Symbol" w:hAnsi="Symbol" w:hint="default"/>
        <w:color w:val="auto"/>
      </w:rPr>
    </w:lvl>
    <w:lvl w:ilvl="1" w:tplc="7E7E3B82">
      <w:start w:val="2"/>
      <w:numFmt w:val="upperLetter"/>
      <w:lvlText w:val="%2."/>
      <w:lvlJc w:val="left"/>
      <w:pPr>
        <w:tabs>
          <w:tab w:val="num" w:pos="1500"/>
        </w:tabs>
        <w:ind w:left="1284" w:hanging="144"/>
      </w:pPr>
      <w:rPr>
        <w:rFonts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0"/>
  </w:num>
  <w:num w:numId="2">
    <w:abstractNumId w:val="6"/>
  </w:num>
  <w:num w:numId="3">
    <w:abstractNumId w:val="5"/>
  </w:num>
  <w:num w:numId="4">
    <w:abstractNumId w:val="17"/>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4"/>
  </w:num>
  <w:num w:numId="7">
    <w:abstractNumId w:val="10"/>
  </w:num>
  <w:num w:numId="8">
    <w:abstractNumId w:val="14"/>
  </w:num>
  <w:num w:numId="9">
    <w:abstractNumId w:val="19"/>
  </w:num>
  <w:num w:numId="10">
    <w:abstractNumId w:val="11"/>
  </w:num>
  <w:num w:numId="11">
    <w:abstractNumId w:val="21"/>
  </w:num>
  <w:num w:numId="12">
    <w:abstractNumId w:val="3"/>
  </w:num>
  <w:num w:numId="13">
    <w:abstractNumId w:val="12"/>
  </w:num>
  <w:num w:numId="14">
    <w:abstractNumId w:val="13"/>
  </w:num>
  <w:num w:numId="15">
    <w:abstractNumId w:val="1"/>
  </w:num>
  <w:num w:numId="16">
    <w:abstractNumId w:val="16"/>
  </w:num>
  <w:num w:numId="17">
    <w:abstractNumId w:val="8"/>
  </w:num>
  <w:num w:numId="18">
    <w:abstractNumId w:val="7"/>
  </w:num>
  <w:num w:numId="19">
    <w:abstractNumId w:val="9"/>
  </w:num>
  <w:num w:numId="20">
    <w:abstractNumId w:val="2"/>
  </w:num>
  <w:num w:numId="21">
    <w:abstractNumId w:val="15"/>
  </w:num>
  <w:num w:numId="22">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1CE"/>
    <w:rsid w:val="00073925"/>
    <w:rsid w:val="000A3933"/>
    <w:rsid w:val="000D0FCC"/>
    <w:rsid w:val="000E7793"/>
    <w:rsid w:val="00232990"/>
    <w:rsid w:val="002373DF"/>
    <w:rsid w:val="00270E53"/>
    <w:rsid w:val="002F0D56"/>
    <w:rsid w:val="0036403E"/>
    <w:rsid w:val="00424702"/>
    <w:rsid w:val="00485387"/>
    <w:rsid w:val="004F273F"/>
    <w:rsid w:val="004F69CE"/>
    <w:rsid w:val="005D7F34"/>
    <w:rsid w:val="0062513B"/>
    <w:rsid w:val="006310A4"/>
    <w:rsid w:val="00707ACC"/>
    <w:rsid w:val="0079229C"/>
    <w:rsid w:val="007943D0"/>
    <w:rsid w:val="00825E12"/>
    <w:rsid w:val="008D64CC"/>
    <w:rsid w:val="009C3C96"/>
    <w:rsid w:val="00A05700"/>
    <w:rsid w:val="00A321DC"/>
    <w:rsid w:val="00AE257E"/>
    <w:rsid w:val="00BA5451"/>
    <w:rsid w:val="00C21034"/>
    <w:rsid w:val="00C2495E"/>
    <w:rsid w:val="00D65407"/>
    <w:rsid w:val="00EA0BC3"/>
    <w:rsid w:val="00EA38FB"/>
    <w:rsid w:val="00EF0B24"/>
    <w:rsid w:val="00EF31CE"/>
    <w:rsid w:val="00F807C2"/>
    <w:rsid w:val="00FE52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990" w:hanging="990"/>
      <w:outlineLvl w:val="0"/>
    </w:pPr>
    <w:rPr>
      <w:b/>
      <w:u w:val="single"/>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tabs>
        <w:tab w:val="left" w:pos="720"/>
      </w:tabs>
      <w:ind w:left="720" w:hanging="720"/>
      <w:outlineLvl w:val="2"/>
    </w:pPr>
    <w:rPr>
      <w:b/>
      <w:bCs/>
      <w:sz w:val="24"/>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tabs>
        <w:tab w:val="left" w:pos="720"/>
      </w:tabs>
      <w:ind w:left="2160" w:hanging="1440"/>
      <w:outlineLvl w:val="4"/>
    </w:pPr>
    <w:rPr>
      <w:sz w:val="24"/>
    </w:rPr>
  </w:style>
  <w:style w:type="paragraph" w:styleId="Heading6">
    <w:name w:val="heading 6"/>
    <w:basedOn w:val="Normal"/>
    <w:next w:val="Normal"/>
    <w:qFormat/>
    <w:pPr>
      <w:keepNext/>
      <w:tabs>
        <w:tab w:val="left" w:pos="1440"/>
      </w:tabs>
      <w:ind w:left="2160" w:hanging="2160"/>
      <w:outlineLvl w:val="5"/>
    </w:pPr>
    <w:rPr>
      <w:b/>
      <w:bCs/>
      <w:sz w:val="24"/>
    </w:rPr>
  </w:style>
  <w:style w:type="paragraph" w:styleId="Heading7">
    <w:name w:val="heading 7"/>
    <w:basedOn w:val="Normal"/>
    <w:next w:val="Normal"/>
    <w:qFormat/>
    <w:pPr>
      <w:keepNext/>
      <w:spacing w:before="60" w:after="60"/>
      <w:jc w:val="center"/>
      <w:outlineLvl w:val="6"/>
    </w:pPr>
    <w:rPr>
      <w:b/>
      <w:bCs/>
      <w:i/>
      <w:iCs/>
      <w:sz w:val="24"/>
    </w:rPr>
  </w:style>
  <w:style w:type="paragraph" w:styleId="Heading8">
    <w:name w:val="heading 8"/>
    <w:basedOn w:val="Normal"/>
    <w:next w:val="Normal"/>
    <w:qFormat/>
    <w:pPr>
      <w:keepNext/>
      <w:ind w:left="360" w:hanging="360"/>
      <w:outlineLvl w:val="7"/>
    </w:pPr>
    <w:rPr>
      <w:rFonts w:ascii="Arial" w:hAnsi="Arial" w:cs="Arial"/>
      <w:b/>
      <w:bCs/>
      <w:color w:val="000000"/>
    </w:rPr>
  </w:style>
  <w:style w:type="paragraph" w:styleId="Heading9">
    <w:name w:val="heading 9"/>
    <w:basedOn w:val="Normal"/>
    <w:next w:val="Normal"/>
    <w:qFormat/>
    <w:pPr>
      <w:keepNext/>
      <w:widowControl w:val="0"/>
      <w:tabs>
        <w:tab w:val="left" w:pos="-360"/>
      </w:tabs>
      <w:snapToGrid w:val="0"/>
      <w:outlineLvl w:val="8"/>
    </w:pPr>
    <w:rPr>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990" w:hanging="990"/>
    </w:pPr>
  </w:style>
  <w:style w:type="paragraph" w:customStyle="1" w:styleId="Level1">
    <w:name w:val="Level 1"/>
    <w:basedOn w:val="Normal"/>
    <w:pPr>
      <w:widowControl w:val="0"/>
      <w:numPr>
        <w:numId w:val="5"/>
      </w:numPr>
      <w:ind w:left="720" w:hanging="720"/>
      <w:outlineLvl w:val="0"/>
    </w:pPr>
    <w:rPr>
      <w:snapToGrid w:val="0"/>
      <w:sz w:val="24"/>
    </w:rPr>
  </w:style>
  <w:style w:type="paragraph" w:customStyle="1" w:styleId="Level2">
    <w:name w:val="Level 2"/>
    <w:basedOn w:val="Normal"/>
    <w:pPr>
      <w:widowControl w:val="0"/>
      <w:numPr>
        <w:ilvl w:val="1"/>
        <w:numId w:val="5"/>
      </w:numPr>
      <w:ind w:left="1440" w:hanging="720"/>
      <w:outlineLvl w:val="1"/>
    </w:pPr>
    <w:rPr>
      <w:snapToGrid w:val="0"/>
      <w:sz w:val="24"/>
    </w:rPr>
  </w:style>
  <w:style w:type="paragraph" w:styleId="BodyTextIndent2">
    <w:name w:val="Body Text Indent 2"/>
    <w:basedOn w:val="Normal"/>
    <w:semiHidden/>
    <w:pPr>
      <w:ind w:left="720"/>
    </w:pPr>
    <w:rPr>
      <w:sz w:val="24"/>
    </w:rPr>
  </w:style>
  <w:style w:type="paragraph" w:styleId="BodyTextIndent3">
    <w:name w:val="Body Text Indent 3"/>
    <w:basedOn w:val="Normal"/>
    <w:semiHidden/>
    <w:pPr>
      <w:ind w:left="2160"/>
    </w:pPr>
    <w:rPr>
      <w:sz w:val="24"/>
    </w:rPr>
  </w:style>
  <w:style w:type="paragraph" w:styleId="BodyText">
    <w:name w:val="Body Text"/>
    <w:basedOn w:val="Normal"/>
    <w:semiHidden/>
    <w:rPr>
      <w:sz w:val="24"/>
    </w:rPr>
  </w:style>
  <w:style w:type="character" w:styleId="PageNumber">
    <w:name w:val="page number"/>
    <w:basedOn w:val="DefaultParagraphFont"/>
    <w:semiHidden/>
  </w:style>
  <w:style w:type="paragraph" w:styleId="ListParagraph">
    <w:name w:val="List Paragraph"/>
    <w:basedOn w:val="Normal"/>
    <w:uiPriority w:val="34"/>
    <w:qFormat/>
    <w:rsid w:val="00707AC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Microsoft_Office_Excel_97-2003_Worksheet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Stephanie Burke</dc:creator>
  <cp:keywords/>
  <dc:description/>
  <cp:lastModifiedBy>Margo Takemiya</cp:lastModifiedBy>
  <cp:revision>2</cp:revision>
  <cp:lastPrinted>2003-07-29T16:29:00Z</cp:lastPrinted>
  <dcterms:created xsi:type="dcterms:W3CDTF">2012-03-13T21:51:00Z</dcterms:created>
  <dcterms:modified xsi:type="dcterms:W3CDTF">2012-03-13T21:51:00Z</dcterms:modified>
</cp:coreProperties>
</file>