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DB" w:rsidRDefault="00B66BDB" w:rsidP="00B66BDB">
      <w:pPr>
        <w:pStyle w:val="NoSpacing"/>
        <w:jc w:val="center"/>
        <w:rPr>
          <w:rFonts w:ascii="Times New Roman" w:hAnsi="Times New Roman"/>
          <w:b/>
          <w:spacing w:val="26"/>
          <w:sz w:val="24"/>
          <w:szCs w:val="24"/>
        </w:rPr>
      </w:pPr>
      <w:r w:rsidRPr="0021116C">
        <w:rPr>
          <w:rFonts w:ascii="Times New Roman" w:hAnsi="Times New Roman"/>
          <w:b/>
          <w:spacing w:val="26"/>
          <w:sz w:val="24"/>
          <w:szCs w:val="24"/>
        </w:rPr>
        <w:t xml:space="preserve">ATTACHMENT </w:t>
      </w:r>
      <w:r w:rsidR="00603A4F">
        <w:rPr>
          <w:rFonts w:ascii="Times New Roman" w:hAnsi="Times New Roman"/>
          <w:b/>
          <w:spacing w:val="26"/>
          <w:sz w:val="24"/>
          <w:szCs w:val="24"/>
        </w:rPr>
        <w:t>_</w:t>
      </w:r>
      <w:r w:rsidRPr="0021116C">
        <w:rPr>
          <w:rFonts w:ascii="Times New Roman" w:hAnsi="Times New Roman"/>
          <w:b/>
          <w:spacing w:val="26"/>
          <w:sz w:val="24"/>
          <w:szCs w:val="24"/>
        </w:rPr>
        <w:t>: SUMMARY OF FINANCIAL FEASIBILITY</w:t>
      </w:r>
    </w:p>
    <w:p w:rsidR="0057695F" w:rsidRDefault="0057695F" w:rsidP="0057695F">
      <w:pPr>
        <w:pStyle w:val="NoSpacing"/>
        <w:jc w:val="center"/>
        <w:rPr>
          <w:b/>
          <w:spacing w:val="26"/>
          <w:sz w:val="24"/>
          <w:szCs w:val="24"/>
        </w:rPr>
      </w:pPr>
    </w:p>
    <w:p w:rsidR="00FC620A" w:rsidRPr="00A16463" w:rsidRDefault="00FC620A" w:rsidP="0057695F">
      <w:pPr>
        <w:pStyle w:val="NoSpacing"/>
        <w:jc w:val="center"/>
        <w:rPr>
          <w:b/>
          <w:spacing w:val="26"/>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4968"/>
        <w:gridCol w:w="4860"/>
      </w:tblGrid>
      <w:tr w:rsidR="0057695F" w:rsidRPr="004506A4" w:rsidTr="000F2AC3">
        <w:tc>
          <w:tcPr>
            <w:tcW w:w="9828" w:type="dxa"/>
            <w:gridSpan w:val="2"/>
            <w:tcBorders>
              <w:bottom w:val="single" w:sz="2" w:space="0" w:color="auto"/>
            </w:tcBorders>
            <w:shd w:val="clear" w:color="auto" w:fill="D9D9D9" w:themeFill="background1" w:themeFillShade="D9"/>
          </w:tcPr>
          <w:p w:rsidR="0057695F" w:rsidRPr="004506A4" w:rsidRDefault="0057695F" w:rsidP="000F2AC3">
            <w:pPr>
              <w:pStyle w:val="Default"/>
              <w:keepNext/>
              <w:tabs>
                <w:tab w:val="left" w:pos="1925"/>
                <w:tab w:val="center" w:pos="4806"/>
              </w:tabs>
              <w:rPr>
                <w:rFonts w:asciiTheme="minorHAnsi" w:hAnsiTheme="minorHAnsi"/>
                <w:b/>
                <w:caps/>
                <w:color w:val="auto"/>
                <w:spacing w:val="20"/>
                <w:sz w:val="22"/>
                <w:szCs w:val="22"/>
              </w:rPr>
            </w:pPr>
            <w:r>
              <w:rPr>
                <w:rFonts w:asciiTheme="minorHAnsi" w:hAnsiTheme="minorHAnsi"/>
                <w:b/>
                <w:caps/>
                <w:color w:val="auto"/>
                <w:spacing w:val="20"/>
                <w:sz w:val="22"/>
                <w:szCs w:val="22"/>
              </w:rPr>
              <w:tab/>
            </w:r>
            <w:r>
              <w:rPr>
                <w:rFonts w:asciiTheme="minorHAnsi" w:hAnsiTheme="minorHAnsi"/>
                <w:b/>
                <w:caps/>
                <w:color w:val="auto"/>
                <w:spacing w:val="20"/>
                <w:sz w:val="22"/>
                <w:szCs w:val="22"/>
              </w:rPr>
              <w:tab/>
            </w:r>
            <w:r w:rsidRPr="004506A4">
              <w:rPr>
                <w:rFonts w:asciiTheme="minorHAnsi" w:hAnsiTheme="minorHAnsi"/>
                <w:b/>
                <w:caps/>
                <w:color w:val="auto"/>
                <w:spacing w:val="20"/>
                <w:sz w:val="22"/>
                <w:szCs w:val="22"/>
              </w:rPr>
              <w:t>[               ] Campus</w:t>
            </w:r>
          </w:p>
        </w:tc>
      </w:tr>
      <w:tr w:rsidR="0057695F" w:rsidRPr="004506A4" w:rsidTr="000F2AC3">
        <w:tc>
          <w:tcPr>
            <w:tcW w:w="4968" w:type="dxa"/>
            <w:tcBorders>
              <w:right w:val="single" w:sz="2" w:space="0" w:color="auto"/>
            </w:tcBorders>
            <w:shd w:val="clear" w:color="auto" w:fill="auto"/>
          </w:tcPr>
          <w:p w:rsidR="0057695F" w:rsidRPr="004506A4" w:rsidRDefault="0057695F" w:rsidP="000F2AC3">
            <w:pPr>
              <w:pStyle w:val="Default"/>
              <w:keepNext/>
              <w:rPr>
                <w:rFonts w:asciiTheme="minorHAnsi" w:hAnsiTheme="minorHAnsi"/>
                <w:color w:val="auto"/>
                <w:sz w:val="22"/>
                <w:szCs w:val="22"/>
              </w:rPr>
            </w:pPr>
            <w:r w:rsidRPr="004506A4">
              <w:rPr>
                <w:rFonts w:asciiTheme="minorHAnsi" w:hAnsiTheme="minorHAnsi"/>
                <w:color w:val="auto"/>
                <w:sz w:val="22"/>
                <w:szCs w:val="22"/>
              </w:rPr>
              <w:t>Project Name</w:t>
            </w:r>
          </w:p>
        </w:tc>
        <w:tc>
          <w:tcPr>
            <w:tcW w:w="4860" w:type="dxa"/>
            <w:tcBorders>
              <w:left w:val="single" w:sz="2" w:space="0" w:color="auto"/>
            </w:tcBorders>
            <w:shd w:val="clear" w:color="auto" w:fill="auto"/>
          </w:tcPr>
          <w:p w:rsidR="0057695F" w:rsidRPr="004506A4" w:rsidRDefault="0057695F" w:rsidP="000F2AC3">
            <w:pPr>
              <w:pStyle w:val="Default"/>
              <w:keepNext/>
              <w:jc w:val="right"/>
              <w:rPr>
                <w:rFonts w:asciiTheme="minorHAnsi" w:hAnsiTheme="minorHAnsi"/>
                <w:b/>
                <w:color w:val="auto"/>
                <w:sz w:val="22"/>
                <w:szCs w:val="22"/>
              </w:rPr>
            </w:pPr>
          </w:p>
        </w:tc>
      </w:tr>
      <w:tr w:rsidR="0057695F" w:rsidRPr="004506A4" w:rsidTr="000F2AC3">
        <w:tc>
          <w:tcPr>
            <w:tcW w:w="4968" w:type="dxa"/>
            <w:tcBorders>
              <w:right w:val="single" w:sz="2" w:space="0" w:color="auto"/>
            </w:tcBorders>
            <w:shd w:val="clear" w:color="auto" w:fill="auto"/>
          </w:tcPr>
          <w:p w:rsidR="0057695F" w:rsidRPr="004506A4" w:rsidRDefault="0057695F" w:rsidP="000F2AC3">
            <w:pPr>
              <w:pStyle w:val="Default"/>
              <w:keepNext/>
              <w:rPr>
                <w:rFonts w:asciiTheme="minorHAnsi" w:hAnsiTheme="minorHAnsi"/>
                <w:color w:val="auto"/>
                <w:sz w:val="22"/>
                <w:szCs w:val="22"/>
              </w:rPr>
            </w:pPr>
            <w:r w:rsidRPr="004506A4">
              <w:rPr>
                <w:rFonts w:asciiTheme="minorHAnsi" w:hAnsiTheme="minorHAnsi"/>
                <w:color w:val="auto"/>
                <w:sz w:val="22"/>
                <w:szCs w:val="22"/>
              </w:rPr>
              <w:t>Project ID</w:t>
            </w:r>
          </w:p>
        </w:tc>
        <w:tc>
          <w:tcPr>
            <w:tcW w:w="4860" w:type="dxa"/>
            <w:tcBorders>
              <w:left w:val="single" w:sz="2" w:space="0" w:color="auto"/>
            </w:tcBorders>
            <w:shd w:val="clear" w:color="auto" w:fill="auto"/>
          </w:tcPr>
          <w:p w:rsidR="0057695F" w:rsidRPr="004506A4" w:rsidRDefault="0057695F" w:rsidP="000F2AC3">
            <w:pPr>
              <w:pStyle w:val="Default"/>
              <w:keepNext/>
              <w:jc w:val="right"/>
              <w:rPr>
                <w:rFonts w:asciiTheme="minorHAnsi" w:hAnsiTheme="minorHAnsi"/>
                <w:b/>
                <w:color w:val="auto"/>
                <w:sz w:val="22"/>
                <w:szCs w:val="22"/>
              </w:rPr>
            </w:pPr>
          </w:p>
        </w:tc>
      </w:tr>
      <w:tr w:rsidR="0057695F" w:rsidRPr="004506A4" w:rsidTr="000F2AC3">
        <w:tc>
          <w:tcPr>
            <w:tcW w:w="4968" w:type="dxa"/>
            <w:tcBorders>
              <w:right w:val="single" w:sz="2" w:space="0" w:color="auto"/>
            </w:tcBorders>
            <w:shd w:val="clear" w:color="auto" w:fill="auto"/>
          </w:tcPr>
          <w:p w:rsidR="0057695F" w:rsidRPr="004506A4" w:rsidRDefault="0057695F" w:rsidP="000F2AC3">
            <w:pPr>
              <w:pStyle w:val="Default"/>
              <w:keepNext/>
              <w:rPr>
                <w:rFonts w:asciiTheme="minorHAnsi" w:hAnsiTheme="minorHAnsi"/>
                <w:color w:val="auto"/>
                <w:sz w:val="22"/>
                <w:szCs w:val="22"/>
              </w:rPr>
            </w:pPr>
            <w:r w:rsidRPr="004506A4">
              <w:rPr>
                <w:rFonts w:asciiTheme="minorHAnsi" w:hAnsiTheme="minorHAnsi"/>
                <w:color w:val="auto"/>
                <w:sz w:val="22"/>
                <w:szCs w:val="22"/>
              </w:rPr>
              <w:t>Total Estimated Project Cost</w:t>
            </w:r>
          </w:p>
        </w:tc>
        <w:tc>
          <w:tcPr>
            <w:tcW w:w="4860" w:type="dxa"/>
            <w:tcBorders>
              <w:left w:val="single" w:sz="2" w:space="0" w:color="auto"/>
            </w:tcBorders>
            <w:shd w:val="clear" w:color="auto" w:fill="auto"/>
          </w:tcPr>
          <w:p w:rsidR="0057695F" w:rsidRPr="001F49B2" w:rsidRDefault="0057695F" w:rsidP="00AD5FBA">
            <w:pPr>
              <w:pStyle w:val="Default"/>
              <w:keepNext/>
              <w:jc w:val="right"/>
              <w:rPr>
                <w:rFonts w:asciiTheme="minorHAnsi" w:hAnsiTheme="minorHAnsi"/>
                <w:color w:val="auto"/>
                <w:sz w:val="22"/>
                <w:szCs w:val="22"/>
              </w:rPr>
            </w:pPr>
            <w:r w:rsidRPr="001F49B2">
              <w:rPr>
                <w:rFonts w:asciiTheme="minorHAnsi" w:hAnsiTheme="minorHAnsi"/>
                <w:color w:val="auto"/>
                <w:sz w:val="22"/>
                <w:szCs w:val="22"/>
              </w:rPr>
              <w:t>$</w:t>
            </w:r>
          </w:p>
        </w:tc>
      </w:tr>
      <w:tr w:rsidR="0057695F" w:rsidRPr="00A16463" w:rsidTr="000F2AC3">
        <w:tc>
          <w:tcPr>
            <w:tcW w:w="4968" w:type="dxa"/>
            <w:tcBorders>
              <w:right w:val="single" w:sz="2" w:space="0" w:color="auto"/>
            </w:tcBorders>
            <w:shd w:val="clear" w:color="auto" w:fill="auto"/>
          </w:tcPr>
          <w:p w:rsidR="0057695F" w:rsidRDefault="0057695F" w:rsidP="000F2AC3">
            <w:pPr>
              <w:pStyle w:val="Default"/>
              <w:keepNext/>
              <w:rPr>
                <w:rFonts w:asciiTheme="minorHAnsi" w:hAnsiTheme="minorHAnsi"/>
                <w:color w:val="auto"/>
                <w:sz w:val="22"/>
                <w:szCs w:val="22"/>
              </w:rPr>
            </w:pPr>
            <w:r w:rsidRPr="004506A4">
              <w:rPr>
                <w:rFonts w:asciiTheme="minorHAnsi" w:hAnsiTheme="minorHAnsi"/>
                <w:color w:val="auto"/>
                <w:sz w:val="22"/>
                <w:szCs w:val="22"/>
              </w:rPr>
              <w:t>Anticipated Interest During Construction</w:t>
            </w:r>
          </w:p>
          <w:p w:rsidR="00603A4F" w:rsidRPr="004506A4" w:rsidRDefault="00603A4F" w:rsidP="000F2AC3">
            <w:pPr>
              <w:pStyle w:val="Default"/>
              <w:keepNext/>
              <w:rPr>
                <w:rFonts w:asciiTheme="minorHAnsi" w:hAnsiTheme="minorHAnsi"/>
                <w:color w:val="auto"/>
                <w:sz w:val="22"/>
                <w:szCs w:val="22"/>
              </w:rPr>
            </w:pPr>
            <w:r>
              <w:rPr>
                <w:rFonts w:asciiTheme="minorHAnsi" w:hAnsiTheme="minorHAnsi"/>
                <w:color w:val="auto"/>
                <w:sz w:val="22"/>
                <w:szCs w:val="22"/>
              </w:rPr>
              <w:t>(included in total estimated project cost)</w:t>
            </w:r>
          </w:p>
        </w:tc>
        <w:tc>
          <w:tcPr>
            <w:tcW w:w="4860" w:type="dxa"/>
            <w:tcBorders>
              <w:left w:val="single" w:sz="2" w:space="0" w:color="auto"/>
            </w:tcBorders>
            <w:shd w:val="clear" w:color="auto" w:fill="auto"/>
          </w:tcPr>
          <w:p w:rsidR="0057695F" w:rsidRPr="001F49B2" w:rsidRDefault="0057695F" w:rsidP="00AD5FBA">
            <w:pPr>
              <w:pStyle w:val="Default"/>
              <w:keepNext/>
              <w:jc w:val="right"/>
              <w:rPr>
                <w:rFonts w:asciiTheme="minorHAnsi" w:hAnsiTheme="minorHAnsi"/>
                <w:color w:val="auto"/>
                <w:sz w:val="22"/>
                <w:szCs w:val="22"/>
              </w:rPr>
            </w:pPr>
            <w:r w:rsidRPr="001F49B2">
              <w:rPr>
                <w:rFonts w:asciiTheme="minorHAnsi" w:hAnsiTheme="minorHAnsi"/>
                <w:color w:val="auto"/>
                <w:sz w:val="22"/>
                <w:szCs w:val="22"/>
              </w:rPr>
              <w:t>$</w:t>
            </w:r>
          </w:p>
        </w:tc>
      </w:tr>
    </w:tbl>
    <w:p w:rsidR="0057695F" w:rsidRDefault="0057695F" w:rsidP="00FC620A">
      <w:pPr>
        <w:spacing w:after="0"/>
        <w:rPr>
          <w:sz w:val="20"/>
        </w:rPr>
      </w:pPr>
    </w:p>
    <w:p w:rsidR="00FC620A" w:rsidRPr="00A16463" w:rsidRDefault="00FC620A" w:rsidP="00FC620A">
      <w:pPr>
        <w:spacing w:after="0"/>
        <w:rPr>
          <w:sz w:val="2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4926"/>
        <w:gridCol w:w="4920"/>
      </w:tblGrid>
      <w:tr w:rsidR="0057695F" w:rsidRPr="00A16463" w:rsidTr="000F2AC3">
        <w:tc>
          <w:tcPr>
            <w:tcW w:w="9846" w:type="dxa"/>
            <w:gridSpan w:val="2"/>
            <w:tcBorders>
              <w:bottom w:val="single" w:sz="2" w:space="0" w:color="auto"/>
            </w:tcBorders>
            <w:shd w:val="clear" w:color="auto" w:fill="D9D9D9" w:themeFill="background1" w:themeFillShade="D9"/>
          </w:tcPr>
          <w:p w:rsidR="0057695F" w:rsidRPr="00A16463" w:rsidRDefault="0057695F" w:rsidP="0099732A">
            <w:pPr>
              <w:pStyle w:val="Default"/>
              <w:keepNext/>
              <w:jc w:val="center"/>
              <w:rPr>
                <w:rFonts w:asciiTheme="minorHAnsi" w:hAnsiTheme="minorHAnsi"/>
                <w:b/>
                <w:caps/>
                <w:color w:val="auto"/>
                <w:spacing w:val="20"/>
                <w:sz w:val="22"/>
                <w:szCs w:val="22"/>
              </w:rPr>
            </w:pPr>
            <w:r w:rsidRPr="00A16463">
              <w:rPr>
                <w:rFonts w:asciiTheme="minorHAnsi" w:hAnsiTheme="minorHAnsi"/>
                <w:b/>
                <w:caps/>
                <w:color w:val="auto"/>
                <w:spacing w:val="20"/>
                <w:sz w:val="22"/>
                <w:szCs w:val="22"/>
              </w:rPr>
              <w:t>Proposed Sources of Funding</w:t>
            </w:r>
            <w:r w:rsidR="0099732A">
              <w:rPr>
                <w:rStyle w:val="FootnoteReference"/>
                <w:rFonts w:asciiTheme="minorHAnsi" w:hAnsiTheme="minorHAnsi"/>
                <w:b/>
                <w:caps/>
                <w:color w:val="auto"/>
                <w:spacing w:val="20"/>
                <w:sz w:val="22"/>
                <w:szCs w:val="22"/>
              </w:rPr>
              <w:footnoteReference w:id="2"/>
            </w:r>
          </w:p>
        </w:tc>
      </w:tr>
      <w:tr w:rsidR="0057695F" w:rsidRPr="00A16463" w:rsidTr="000F2AC3">
        <w:tc>
          <w:tcPr>
            <w:tcW w:w="4926" w:type="dxa"/>
            <w:tcBorders>
              <w:right w:val="single" w:sz="2" w:space="0" w:color="auto"/>
            </w:tcBorders>
            <w:shd w:val="clear" w:color="auto" w:fill="auto"/>
          </w:tcPr>
          <w:p w:rsidR="0057695F" w:rsidRPr="00A16463" w:rsidRDefault="0057695F" w:rsidP="000F2AC3">
            <w:pPr>
              <w:pStyle w:val="Default"/>
              <w:keepNext/>
              <w:rPr>
                <w:rFonts w:asciiTheme="minorHAnsi" w:hAnsiTheme="minorHAnsi"/>
                <w:color w:val="auto"/>
                <w:sz w:val="22"/>
                <w:szCs w:val="22"/>
              </w:rPr>
            </w:pPr>
            <w:r w:rsidRPr="00A16463">
              <w:rPr>
                <w:rFonts w:asciiTheme="minorHAnsi" w:hAnsiTheme="minorHAnsi"/>
                <w:color w:val="auto"/>
                <w:sz w:val="22"/>
                <w:szCs w:val="22"/>
              </w:rPr>
              <w:t>External Financing</w:t>
            </w:r>
          </w:p>
        </w:tc>
        <w:tc>
          <w:tcPr>
            <w:tcW w:w="4920" w:type="dxa"/>
            <w:tcBorders>
              <w:left w:val="single" w:sz="2" w:space="0" w:color="auto"/>
            </w:tcBorders>
            <w:shd w:val="clear" w:color="auto" w:fill="auto"/>
          </w:tcPr>
          <w:p w:rsidR="0057695F" w:rsidRPr="001F49B2" w:rsidRDefault="0057695F" w:rsidP="00AD5FBA">
            <w:pPr>
              <w:pStyle w:val="Default"/>
              <w:keepNext/>
              <w:jc w:val="right"/>
              <w:rPr>
                <w:rFonts w:asciiTheme="minorHAnsi" w:hAnsiTheme="minorHAnsi"/>
                <w:color w:val="auto"/>
                <w:sz w:val="22"/>
                <w:szCs w:val="22"/>
              </w:rPr>
            </w:pPr>
            <w:r w:rsidRPr="001F49B2">
              <w:rPr>
                <w:rFonts w:asciiTheme="minorHAnsi" w:hAnsiTheme="minorHAnsi"/>
                <w:color w:val="auto"/>
                <w:sz w:val="22"/>
                <w:szCs w:val="22"/>
              </w:rPr>
              <w:t>$</w:t>
            </w:r>
          </w:p>
        </w:tc>
      </w:tr>
      <w:tr w:rsidR="0057695F" w:rsidRPr="00A16463" w:rsidTr="000F2AC3">
        <w:tc>
          <w:tcPr>
            <w:tcW w:w="4926" w:type="dxa"/>
            <w:tcBorders>
              <w:right w:val="single" w:sz="2" w:space="0" w:color="auto"/>
            </w:tcBorders>
            <w:shd w:val="clear" w:color="auto" w:fill="auto"/>
          </w:tcPr>
          <w:p w:rsidR="0057695F" w:rsidRPr="00A16463" w:rsidRDefault="00977414" w:rsidP="000F2AC3">
            <w:pPr>
              <w:pStyle w:val="Default"/>
              <w:keepNext/>
              <w:rPr>
                <w:rFonts w:asciiTheme="minorHAnsi" w:hAnsiTheme="minorHAnsi"/>
                <w:color w:val="auto"/>
                <w:sz w:val="22"/>
                <w:szCs w:val="22"/>
              </w:rPr>
            </w:pPr>
            <w:r>
              <w:rPr>
                <w:rFonts w:asciiTheme="minorHAnsi" w:hAnsiTheme="minorHAnsi"/>
                <w:color w:val="auto"/>
                <w:sz w:val="22"/>
                <w:szCs w:val="22"/>
              </w:rPr>
              <w:t>[</w:t>
            </w:r>
            <w:r w:rsidR="0057695F" w:rsidRPr="00A16463">
              <w:rPr>
                <w:rFonts w:asciiTheme="minorHAnsi" w:hAnsiTheme="minorHAnsi"/>
                <w:color w:val="auto"/>
                <w:sz w:val="22"/>
                <w:szCs w:val="22"/>
              </w:rPr>
              <w:t>Standby Financing</w:t>
            </w:r>
            <w:r>
              <w:rPr>
                <w:rFonts w:asciiTheme="minorHAnsi" w:hAnsiTheme="minorHAnsi"/>
                <w:color w:val="auto"/>
                <w:sz w:val="22"/>
                <w:szCs w:val="22"/>
              </w:rPr>
              <w:t>]</w:t>
            </w:r>
          </w:p>
        </w:tc>
        <w:tc>
          <w:tcPr>
            <w:tcW w:w="4920" w:type="dxa"/>
            <w:tcBorders>
              <w:left w:val="single" w:sz="2" w:space="0" w:color="auto"/>
            </w:tcBorders>
            <w:shd w:val="clear" w:color="auto" w:fill="auto"/>
          </w:tcPr>
          <w:p w:rsidR="0057695F" w:rsidRPr="001F49B2" w:rsidRDefault="00AD5FBA" w:rsidP="000F2AC3">
            <w:pPr>
              <w:pStyle w:val="Default"/>
              <w:keepNext/>
              <w:jc w:val="right"/>
              <w:rPr>
                <w:rFonts w:asciiTheme="minorHAnsi" w:hAnsiTheme="minorHAnsi"/>
                <w:color w:val="auto"/>
                <w:sz w:val="22"/>
                <w:szCs w:val="22"/>
              </w:rPr>
            </w:pPr>
            <w:r w:rsidRPr="001F49B2">
              <w:rPr>
                <w:rFonts w:asciiTheme="minorHAnsi" w:hAnsiTheme="minorHAnsi"/>
                <w:color w:val="auto"/>
                <w:sz w:val="22"/>
                <w:szCs w:val="22"/>
              </w:rPr>
              <w:t>[$]</w:t>
            </w:r>
          </w:p>
        </w:tc>
      </w:tr>
      <w:tr w:rsidR="0057695F" w:rsidRPr="00A16463" w:rsidTr="000F2AC3">
        <w:tc>
          <w:tcPr>
            <w:tcW w:w="4926" w:type="dxa"/>
            <w:tcBorders>
              <w:right w:val="single" w:sz="2" w:space="0" w:color="auto"/>
            </w:tcBorders>
            <w:shd w:val="clear" w:color="auto" w:fill="auto"/>
          </w:tcPr>
          <w:p w:rsidR="0057695F" w:rsidRPr="00A16463" w:rsidRDefault="00977414" w:rsidP="000F2AC3">
            <w:pPr>
              <w:pStyle w:val="Default"/>
              <w:keepNext/>
              <w:rPr>
                <w:rFonts w:asciiTheme="minorHAnsi" w:hAnsiTheme="minorHAnsi"/>
                <w:color w:val="auto"/>
                <w:sz w:val="22"/>
                <w:szCs w:val="22"/>
              </w:rPr>
            </w:pPr>
            <w:r>
              <w:rPr>
                <w:rFonts w:asciiTheme="minorHAnsi" w:hAnsiTheme="minorHAnsi"/>
                <w:color w:val="auto"/>
                <w:sz w:val="22"/>
                <w:szCs w:val="22"/>
              </w:rPr>
              <w:t>[</w:t>
            </w:r>
            <w:r w:rsidR="0057695F" w:rsidRPr="00A16463">
              <w:rPr>
                <w:rFonts w:asciiTheme="minorHAnsi" w:hAnsiTheme="minorHAnsi"/>
                <w:color w:val="auto"/>
                <w:sz w:val="22"/>
                <w:szCs w:val="22"/>
              </w:rPr>
              <w:t>Interim Financing</w:t>
            </w:r>
            <w:r>
              <w:rPr>
                <w:rFonts w:asciiTheme="minorHAnsi" w:hAnsiTheme="minorHAnsi"/>
                <w:color w:val="auto"/>
                <w:sz w:val="22"/>
                <w:szCs w:val="22"/>
              </w:rPr>
              <w:t>]</w:t>
            </w:r>
          </w:p>
        </w:tc>
        <w:tc>
          <w:tcPr>
            <w:tcW w:w="4920" w:type="dxa"/>
            <w:tcBorders>
              <w:left w:val="single" w:sz="2" w:space="0" w:color="auto"/>
            </w:tcBorders>
            <w:shd w:val="clear" w:color="auto" w:fill="auto"/>
          </w:tcPr>
          <w:p w:rsidR="0057695F" w:rsidRPr="001F49B2" w:rsidRDefault="00AD5FBA" w:rsidP="000F2AC3">
            <w:pPr>
              <w:pStyle w:val="Default"/>
              <w:keepNext/>
              <w:jc w:val="right"/>
              <w:rPr>
                <w:rFonts w:asciiTheme="minorHAnsi" w:hAnsiTheme="minorHAnsi"/>
                <w:color w:val="auto"/>
                <w:sz w:val="22"/>
                <w:szCs w:val="22"/>
              </w:rPr>
            </w:pPr>
            <w:r w:rsidRPr="001F49B2">
              <w:rPr>
                <w:rFonts w:asciiTheme="minorHAnsi" w:hAnsiTheme="minorHAnsi"/>
                <w:color w:val="auto"/>
                <w:sz w:val="22"/>
                <w:szCs w:val="22"/>
              </w:rPr>
              <w:t>[$]</w:t>
            </w:r>
          </w:p>
        </w:tc>
      </w:tr>
      <w:tr w:rsidR="0057695F" w:rsidRPr="00A16463" w:rsidTr="000F2AC3">
        <w:tc>
          <w:tcPr>
            <w:tcW w:w="4926" w:type="dxa"/>
            <w:tcBorders>
              <w:right w:val="single" w:sz="2" w:space="0" w:color="auto"/>
            </w:tcBorders>
            <w:shd w:val="clear" w:color="auto" w:fill="auto"/>
          </w:tcPr>
          <w:p w:rsidR="0057695F" w:rsidRPr="00A16463" w:rsidRDefault="00977414" w:rsidP="000F2AC3">
            <w:pPr>
              <w:pStyle w:val="Default"/>
              <w:keepNext/>
              <w:rPr>
                <w:rFonts w:asciiTheme="minorHAnsi" w:hAnsiTheme="minorHAnsi"/>
                <w:color w:val="auto"/>
                <w:sz w:val="22"/>
                <w:szCs w:val="22"/>
              </w:rPr>
            </w:pPr>
            <w:r>
              <w:rPr>
                <w:rFonts w:asciiTheme="minorHAnsi" w:hAnsiTheme="minorHAnsi"/>
                <w:color w:val="auto"/>
                <w:sz w:val="22"/>
                <w:szCs w:val="22"/>
              </w:rPr>
              <w:t>[</w:t>
            </w:r>
            <w:r w:rsidR="0057695F" w:rsidRPr="00A16463">
              <w:rPr>
                <w:rFonts w:asciiTheme="minorHAnsi" w:hAnsiTheme="minorHAnsi"/>
                <w:color w:val="auto"/>
                <w:sz w:val="22"/>
                <w:szCs w:val="22"/>
              </w:rPr>
              <w:t>Other Source of Funding I</w:t>
            </w:r>
            <w:r>
              <w:rPr>
                <w:rFonts w:asciiTheme="minorHAnsi" w:hAnsiTheme="minorHAnsi"/>
                <w:color w:val="auto"/>
                <w:sz w:val="22"/>
                <w:szCs w:val="22"/>
              </w:rPr>
              <w:t>]</w:t>
            </w:r>
          </w:p>
        </w:tc>
        <w:tc>
          <w:tcPr>
            <w:tcW w:w="4920" w:type="dxa"/>
            <w:tcBorders>
              <w:left w:val="single" w:sz="2" w:space="0" w:color="auto"/>
            </w:tcBorders>
            <w:shd w:val="clear" w:color="auto" w:fill="auto"/>
          </w:tcPr>
          <w:p w:rsidR="0057695F" w:rsidRPr="001F49B2" w:rsidRDefault="00AD5FBA" w:rsidP="000F2AC3">
            <w:pPr>
              <w:pStyle w:val="Default"/>
              <w:keepNext/>
              <w:jc w:val="right"/>
              <w:rPr>
                <w:rFonts w:asciiTheme="minorHAnsi" w:hAnsiTheme="minorHAnsi"/>
                <w:color w:val="auto"/>
                <w:sz w:val="22"/>
                <w:szCs w:val="22"/>
              </w:rPr>
            </w:pPr>
            <w:r w:rsidRPr="001F49B2">
              <w:rPr>
                <w:rFonts w:asciiTheme="minorHAnsi" w:hAnsiTheme="minorHAnsi"/>
                <w:color w:val="auto"/>
                <w:sz w:val="22"/>
                <w:szCs w:val="22"/>
              </w:rPr>
              <w:t>[$]</w:t>
            </w:r>
          </w:p>
        </w:tc>
      </w:tr>
      <w:tr w:rsidR="0057695F" w:rsidRPr="00A16463" w:rsidTr="000F2AC3">
        <w:tc>
          <w:tcPr>
            <w:tcW w:w="4926" w:type="dxa"/>
            <w:tcBorders>
              <w:right w:val="single" w:sz="2" w:space="0" w:color="auto"/>
            </w:tcBorders>
            <w:shd w:val="clear" w:color="auto" w:fill="auto"/>
          </w:tcPr>
          <w:p w:rsidR="0057695F" w:rsidRPr="00A16463" w:rsidRDefault="00977414" w:rsidP="000F2AC3">
            <w:pPr>
              <w:pStyle w:val="Default"/>
              <w:keepNext/>
              <w:rPr>
                <w:rFonts w:asciiTheme="minorHAnsi" w:hAnsiTheme="minorHAnsi"/>
                <w:color w:val="auto"/>
                <w:sz w:val="22"/>
                <w:szCs w:val="22"/>
              </w:rPr>
            </w:pPr>
            <w:r>
              <w:rPr>
                <w:rFonts w:asciiTheme="minorHAnsi" w:hAnsiTheme="minorHAnsi"/>
                <w:color w:val="auto"/>
                <w:sz w:val="22"/>
                <w:szCs w:val="22"/>
              </w:rPr>
              <w:t>[</w:t>
            </w:r>
            <w:r w:rsidR="0057695F" w:rsidRPr="00A16463">
              <w:rPr>
                <w:rFonts w:asciiTheme="minorHAnsi" w:hAnsiTheme="minorHAnsi"/>
                <w:color w:val="auto"/>
                <w:sz w:val="22"/>
                <w:szCs w:val="22"/>
              </w:rPr>
              <w:t>Other Source of Funding II</w:t>
            </w:r>
            <w:r>
              <w:rPr>
                <w:rFonts w:asciiTheme="minorHAnsi" w:hAnsiTheme="minorHAnsi"/>
                <w:color w:val="auto"/>
                <w:sz w:val="22"/>
                <w:szCs w:val="22"/>
              </w:rPr>
              <w:t>]</w:t>
            </w:r>
          </w:p>
        </w:tc>
        <w:tc>
          <w:tcPr>
            <w:tcW w:w="4920" w:type="dxa"/>
            <w:tcBorders>
              <w:left w:val="single" w:sz="2" w:space="0" w:color="auto"/>
            </w:tcBorders>
            <w:shd w:val="clear" w:color="auto" w:fill="auto"/>
          </w:tcPr>
          <w:p w:rsidR="0057695F" w:rsidRPr="001F49B2" w:rsidRDefault="00AD5FBA" w:rsidP="000F2AC3">
            <w:pPr>
              <w:pStyle w:val="Default"/>
              <w:keepNext/>
              <w:jc w:val="right"/>
              <w:rPr>
                <w:rFonts w:asciiTheme="minorHAnsi" w:hAnsiTheme="minorHAnsi"/>
                <w:color w:val="auto"/>
                <w:sz w:val="22"/>
                <w:szCs w:val="22"/>
              </w:rPr>
            </w:pPr>
            <w:r w:rsidRPr="001F49B2">
              <w:rPr>
                <w:rFonts w:asciiTheme="minorHAnsi" w:hAnsiTheme="minorHAnsi"/>
                <w:color w:val="auto"/>
                <w:sz w:val="22"/>
                <w:szCs w:val="22"/>
              </w:rPr>
              <w:t>[$]</w:t>
            </w:r>
          </w:p>
        </w:tc>
      </w:tr>
      <w:tr w:rsidR="0057695F" w:rsidRPr="00A16463" w:rsidTr="000F2AC3">
        <w:tc>
          <w:tcPr>
            <w:tcW w:w="4926" w:type="dxa"/>
            <w:tcBorders>
              <w:right w:val="single" w:sz="2" w:space="0" w:color="auto"/>
            </w:tcBorders>
            <w:shd w:val="clear" w:color="auto" w:fill="auto"/>
          </w:tcPr>
          <w:p w:rsidR="0057695F" w:rsidRPr="00A16463" w:rsidRDefault="0057695F" w:rsidP="000F2AC3">
            <w:pPr>
              <w:pStyle w:val="Default"/>
              <w:keepNext/>
              <w:rPr>
                <w:rFonts w:asciiTheme="minorHAnsi" w:hAnsiTheme="minorHAnsi"/>
                <w:color w:val="auto"/>
                <w:sz w:val="22"/>
                <w:szCs w:val="22"/>
              </w:rPr>
            </w:pPr>
            <w:r w:rsidRPr="00A16463">
              <w:rPr>
                <w:rFonts w:asciiTheme="minorHAnsi" w:hAnsiTheme="minorHAnsi"/>
                <w:color w:val="auto"/>
                <w:sz w:val="22"/>
                <w:szCs w:val="22"/>
              </w:rPr>
              <w:t>Total</w:t>
            </w:r>
          </w:p>
        </w:tc>
        <w:tc>
          <w:tcPr>
            <w:tcW w:w="4920" w:type="dxa"/>
            <w:tcBorders>
              <w:left w:val="single" w:sz="2" w:space="0" w:color="auto"/>
            </w:tcBorders>
            <w:shd w:val="clear" w:color="auto" w:fill="auto"/>
          </w:tcPr>
          <w:p w:rsidR="0057695F" w:rsidRPr="001F49B2" w:rsidRDefault="0057695F" w:rsidP="00AD5FBA">
            <w:pPr>
              <w:pStyle w:val="Default"/>
              <w:keepNext/>
              <w:jc w:val="right"/>
              <w:rPr>
                <w:rFonts w:asciiTheme="minorHAnsi" w:hAnsiTheme="minorHAnsi"/>
                <w:color w:val="auto"/>
                <w:sz w:val="22"/>
                <w:szCs w:val="22"/>
              </w:rPr>
            </w:pPr>
            <w:r w:rsidRPr="001F49B2">
              <w:rPr>
                <w:rFonts w:asciiTheme="minorHAnsi" w:hAnsiTheme="minorHAnsi"/>
                <w:color w:val="auto"/>
                <w:sz w:val="22"/>
                <w:szCs w:val="22"/>
              </w:rPr>
              <w:t>$</w:t>
            </w:r>
          </w:p>
        </w:tc>
      </w:tr>
    </w:tbl>
    <w:p w:rsidR="00F804E8" w:rsidRDefault="00F804E8">
      <w:pPr>
        <w:spacing w:after="0" w:line="240" w:lineRule="auto"/>
        <w:rPr>
          <w:rFonts w:asciiTheme="minorHAnsi" w:eastAsia="Times New Roman" w:hAnsiTheme="minorHAnsi"/>
          <w:sz w:val="20"/>
          <w:szCs w:val="20"/>
        </w:rPr>
      </w:pPr>
      <w:r>
        <w:rPr>
          <w:rFonts w:asciiTheme="minorHAnsi" w:hAnsiTheme="minorHAnsi"/>
          <w:sz w:val="20"/>
        </w:rPr>
        <w:br w:type="page"/>
      </w:r>
    </w:p>
    <w:p w:rsidR="0057695F" w:rsidRPr="00F804E8" w:rsidRDefault="0057695F" w:rsidP="0057695F">
      <w:pPr>
        <w:pStyle w:val="Default"/>
        <w:rPr>
          <w:rFonts w:asciiTheme="minorHAnsi" w:hAnsiTheme="minorHAnsi"/>
          <w:color w:val="auto"/>
          <w:sz w:val="22"/>
          <w:szCs w:val="22"/>
        </w:rPr>
      </w:pPr>
      <w:r w:rsidRPr="00F804E8">
        <w:rPr>
          <w:rFonts w:asciiTheme="minorHAnsi" w:hAnsiTheme="minorHAnsi"/>
          <w:color w:val="auto"/>
          <w:sz w:val="22"/>
          <w:szCs w:val="22"/>
        </w:rPr>
        <w:lastRenderedPageBreak/>
        <w:t xml:space="preserve">Below are results of the financial feasibility analysis for the proposed project using the campus’ Debt Affordability </w:t>
      </w:r>
      <w:proofErr w:type="gramStart"/>
      <w:r w:rsidRPr="00F804E8">
        <w:rPr>
          <w:rFonts w:asciiTheme="minorHAnsi" w:hAnsiTheme="minorHAnsi"/>
          <w:color w:val="auto"/>
          <w:sz w:val="22"/>
          <w:szCs w:val="22"/>
        </w:rPr>
        <w:t>Model.</w:t>
      </w:r>
      <w:proofErr w:type="gramEnd"/>
      <w:r w:rsidR="001F49B2" w:rsidRPr="00F804E8">
        <w:rPr>
          <w:rFonts w:asciiTheme="minorHAnsi" w:hAnsiTheme="minorHAnsi"/>
          <w:color w:val="auto"/>
          <w:sz w:val="22"/>
          <w:szCs w:val="22"/>
        </w:rPr>
        <w:t xml:space="preserve"> The model includes projections of the campus’ operations and planned financings. A new Debt Affordability Model with revised metrics was implemented August 1, 2015.</w:t>
      </w:r>
      <w:r w:rsidRPr="00F804E8">
        <w:rPr>
          <w:rFonts w:asciiTheme="minorHAnsi" w:hAnsiTheme="minorHAnsi"/>
          <w:color w:val="auto"/>
          <w:sz w:val="22"/>
          <w:szCs w:val="22"/>
        </w:rPr>
        <w:t xml:space="preserve">  </w:t>
      </w:r>
    </w:p>
    <w:p w:rsidR="00FC620A" w:rsidRPr="00A16463" w:rsidRDefault="00FC620A" w:rsidP="0057695F">
      <w:pPr>
        <w:pStyle w:val="Default"/>
        <w:rPr>
          <w:rFonts w:asciiTheme="minorHAnsi" w:hAnsiTheme="minorHAnsi"/>
          <w:color w:val="auto"/>
          <w:sz w:val="20"/>
        </w:rPr>
      </w:pPr>
    </w:p>
    <w:tbl>
      <w:tblPr>
        <w:tblStyle w:val="TableGrid"/>
        <w:tblW w:w="0" w:type="auto"/>
        <w:tblLook w:val="04A0" w:firstRow="1" w:lastRow="0" w:firstColumn="1" w:lastColumn="0" w:noHBand="0" w:noVBand="1"/>
      </w:tblPr>
      <w:tblGrid>
        <w:gridCol w:w="2879"/>
        <w:gridCol w:w="2439"/>
        <w:gridCol w:w="2440"/>
        <w:gridCol w:w="2538"/>
      </w:tblGrid>
      <w:tr w:rsidR="00CA4A6D" w:rsidRPr="004506A4" w:rsidTr="00B17AC4">
        <w:tc>
          <w:tcPr>
            <w:tcW w:w="2879" w:type="dxa"/>
            <w:tcBorders>
              <w:top w:val="nil"/>
              <w:left w:val="nil"/>
              <w:bottom w:val="single" w:sz="4" w:space="0" w:color="auto"/>
            </w:tcBorders>
            <w:shd w:val="clear" w:color="auto" w:fill="auto"/>
          </w:tcPr>
          <w:p w:rsidR="00CA4A6D" w:rsidRPr="00A16463" w:rsidRDefault="00CA4A6D" w:rsidP="000F2AC3">
            <w:pPr>
              <w:pStyle w:val="Default"/>
              <w:keepNext/>
              <w:jc w:val="center"/>
              <w:rPr>
                <w:rFonts w:asciiTheme="minorHAnsi" w:hAnsiTheme="minorHAnsi"/>
                <w:b/>
                <w:color w:val="auto"/>
                <w:sz w:val="22"/>
                <w:szCs w:val="22"/>
              </w:rPr>
            </w:pPr>
          </w:p>
        </w:tc>
        <w:tc>
          <w:tcPr>
            <w:tcW w:w="7417" w:type="dxa"/>
            <w:gridSpan w:val="3"/>
            <w:shd w:val="clear" w:color="auto" w:fill="D9D9D9" w:themeFill="background1" w:themeFillShade="D9"/>
          </w:tcPr>
          <w:p w:rsidR="00CA4A6D" w:rsidRPr="004506A4" w:rsidRDefault="00CA4A6D" w:rsidP="000F2AC3">
            <w:pPr>
              <w:pStyle w:val="Default"/>
              <w:keepNext/>
              <w:jc w:val="center"/>
              <w:rPr>
                <w:rFonts w:asciiTheme="minorHAnsi" w:hAnsiTheme="minorHAnsi"/>
                <w:b/>
                <w:caps/>
                <w:color w:val="auto"/>
                <w:spacing w:val="20"/>
                <w:sz w:val="22"/>
                <w:szCs w:val="22"/>
              </w:rPr>
            </w:pPr>
            <w:r w:rsidRPr="004506A4">
              <w:rPr>
                <w:rFonts w:asciiTheme="minorHAnsi" w:hAnsiTheme="minorHAnsi"/>
                <w:b/>
                <w:caps/>
                <w:color w:val="auto"/>
                <w:spacing w:val="20"/>
                <w:sz w:val="22"/>
                <w:szCs w:val="22"/>
              </w:rPr>
              <w:t>Campus Financing Benchmarks</w:t>
            </w:r>
          </w:p>
        </w:tc>
      </w:tr>
      <w:tr w:rsidR="0047359E" w:rsidRPr="004506A4" w:rsidTr="001F49B2">
        <w:tc>
          <w:tcPr>
            <w:tcW w:w="2879" w:type="dxa"/>
            <w:tcBorders>
              <w:top w:val="single" w:sz="4" w:space="0" w:color="auto"/>
              <w:left w:val="single" w:sz="4" w:space="0" w:color="auto"/>
              <w:bottom w:val="single" w:sz="4" w:space="0" w:color="auto"/>
            </w:tcBorders>
            <w:shd w:val="clear" w:color="auto" w:fill="D9D9D9" w:themeFill="background1" w:themeFillShade="D9"/>
          </w:tcPr>
          <w:p w:rsidR="0047359E" w:rsidRPr="004506A4" w:rsidRDefault="0047359E" w:rsidP="000F2AC3">
            <w:pPr>
              <w:pStyle w:val="Default"/>
              <w:keepNext/>
              <w:rPr>
                <w:rFonts w:asciiTheme="minorHAnsi" w:hAnsiTheme="minorHAnsi"/>
                <w:b/>
                <w:color w:val="auto"/>
                <w:sz w:val="22"/>
                <w:szCs w:val="22"/>
              </w:rPr>
            </w:pPr>
            <w:r w:rsidRPr="004506A4">
              <w:rPr>
                <w:rFonts w:asciiTheme="minorHAnsi" w:hAnsiTheme="minorHAnsi"/>
                <w:b/>
                <w:color w:val="auto"/>
                <w:sz w:val="22"/>
                <w:szCs w:val="22"/>
              </w:rPr>
              <w:t>Measure</w:t>
            </w:r>
          </w:p>
        </w:tc>
        <w:tc>
          <w:tcPr>
            <w:tcW w:w="2439" w:type="dxa"/>
            <w:tcBorders>
              <w:bottom w:val="single" w:sz="4" w:space="0" w:color="auto"/>
            </w:tcBorders>
            <w:shd w:val="clear" w:color="auto" w:fill="D9D9D9" w:themeFill="background1" w:themeFillShade="D9"/>
          </w:tcPr>
          <w:p w:rsidR="0047359E" w:rsidRPr="004506A4" w:rsidRDefault="0047359E" w:rsidP="000F2AC3">
            <w:pPr>
              <w:pStyle w:val="Default"/>
              <w:keepNext/>
              <w:jc w:val="center"/>
              <w:rPr>
                <w:rFonts w:asciiTheme="minorHAnsi" w:hAnsiTheme="minorHAnsi"/>
                <w:b/>
                <w:color w:val="auto"/>
                <w:sz w:val="22"/>
                <w:szCs w:val="22"/>
              </w:rPr>
            </w:pPr>
            <w:r w:rsidRPr="004506A4">
              <w:rPr>
                <w:rFonts w:asciiTheme="minorHAnsi" w:hAnsiTheme="minorHAnsi"/>
                <w:b/>
                <w:color w:val="auto"/>
                <w:sz w:val="22"/>
                <w:szCs w:val="22"/>
              </w:rPr>
              <w:t xml:space="preserve">10 Year Projections </w:t>
            </w:r>
          </w:p>
        </w:tc>
        <w:tc>
          <w:tcPr>
            <w:tcW w:w="2440" w:type="dxa"/>
            <w:tcBorders>
              <w:bottom w:val="single" w:sz="4" w:space="0" w:color="auto"/>
            </w:tcBorders>
            <w:shd w:val="clear" w:color="auto" w:fill="D9D9D9" w:themeFill="background1" w:themeFillShade="D9"/>
          </w:tcPr>
          <w:p w:rsidR="0047359E" w:rsidRPr="004506A4" w:rsidRDefault="0047359E" w:rsidP="000F2AC3">
            <w:pPr>
              <w:pStyle w:val="Default"/>
              <w:keepNext/>
              <w:jc w:val="center"/>
              <w:rPr>
                <w:rFonts w:asciiTheme="minorHAnsi" w:hAnsiTheme="minorHAnsi"/>
                <w:b/>
                <w:color w:val="auto"/>
                <w:sz w:val="22"/>
                <w:szCs w:val="22"/>
              </w:rPr>
            </w:pPr>
            <w:r w:rsidRPr="004506A4">
              <w:rPr>
                <w:rFonts w:asciiTheme="minorHAnsi" w:hAnsiTheme="minorHAnsi"/>
                <w:b/>
                <w:color w:val="auto"/>
                <w:sz w:val="22"/>
                <w:szCs w:val="22"/>
              </w:rPr>
              <w:t>Approval Threshold</w:t>
            </w:r>
          </w:p>
        </w:tc>
        <w:tc>
          <w:tcPr>
            <w:tcW w:w="2538" w:type="dxa"/>
            <w:tcBorders>
              <w:bottom w:val="single" w:sz="4" w:space="0" w:color="auto"/>
            </w:tcBorders>
            <w:shd w:val="clear" w:color="auto" w:fill="D9D9D9" w:themeFill="background1" w:themeFillShade="D9"/>
          </w:tcPr>
          <w:p w:rsidR="0047359E" w:rsidRPr="004506A4" w:rsidRDefault="0047359E" w:rsidP="000F2AC3">
            <w:pPr>
              <w:pStyle w:val="Default"/>
              <w:keepNext/>
              <w:jc w:val="center"/>
              <w:rPr>
                <w:rFonts w:asciiTheme="minorHAnsi" w:hAnsiTheme="minorHAnsi"/>
                <w:b/>
                <w:color w:val="auto"/>
                <w:sz w:val="22"/>
                <w:szCs w:val="22"/>
              </w:rPr>
            </w:pPr>
            <w:r>
              <w:rPr>
                <w:rFonts w:asciiTheme="minorHAnsi" w:hAnsiTheme="minorHAnsi"/>
                <w:b/>
                <w:color w:val="auto"/>
                <w:sz w:val="22"/>
                <w:szCs w:val="22"/>
              </w:rPr>
              <w:t>Requirement</w:t>
            </w:r>
          </w:p>
        </w:tc>
      </w:tr>
      <w:tr w:rsidR="0047359E" w:rsidRPr="004506A4" w:rsidTr="00F804E8">
        <w:trPr>
          <w:trHeight w:val="576"/>
        </w:trPr>
        <w:tc>
          <w:tcPr>
            <w:tcW w:w="2879" w:type="dxa"/>
            <w:shd w:val="clear" w:color="auto" w:fill="auto"/>
            <w:vAlign w:val="center"/>
          </w:tcPr>
          <w:p w:rsidR="0047359E" w:rsidRPr="001F49B2" w:rsidRDefault="0047359E">
            <w:pPr>
              <w:pStyle w:val="Default"/>
              <w:keepNext/>
              <w:rPr>
                <w:rFonts w:asciiTheme="minorHAnsi" w:hAnsiTheme="minorHAnsi"/>
                <w:color w:val="auto"/>
                <w:sz w:val="22"/>
                <w:szCs w:val="22"/>
              </w:rPr>
            </w:pPr>
            <w:r w:rsidRPr="001F49B2">
              <w:rPr>
                <w:rFonts w:asciiTheme="minorHAnsi" w:hAnsiTheme="minorHAnsi"/>
                <w:color w:val="auto"/>
                <w:sz w:val="22"/>
                <w:szCs w:val="22"/>
              </w:rPr>
              <w:t>Modified Cash Flow Margin</w:t>
            </w:r>
            <w:r w:rsidR="0099732A">
              <w:rPr>
                <w:rStyle w:val="FootnoteReference"/>
                <w:rFonts w:asciiTheme="minorHAnsi" w:hAnsiTheme="minorHAnsi"/>
                <w:color w:val="auto"/>
                <w:sz w:val="22"/>
                <w:szCs w:val="22"/>
              </w:rPr>
              <w:footnoteReference w:id="3"/>
            </w:r>
          </w:p>
        </w:tc>
        <w:tc>
          <w:tcPr>
            <w:tcW w:w="2439" w:type="dxa"/>
            <w:shd w:val="clear" w:color="auto" w:fill="auto"/>
            <w:vAlign w:val="center"/>
          </w:tcPr>
          <w:p w:rsidR="0047359E" w:rsidRPr="001F49B2" w:rsidRDefault="0047359E">
            <w:pPr>
              <w:pStyle w:val="Default"/>
              <w:keepNext/>
              <w:jc w:val="center"/>
              <w:rPr>
                <w:rFonts w:asciiTheme="minorHAnsi" w:hAnsiTheme="minorHAnsi"/>
                <w:color w:val="auto"/>
                <w:sz w:val="22"/>
                <w:szCs w:val="22"/>
              </w:rPr>
            </w:pPr>
            <w:r w:rsidRPr="001F49B2">
              <w:rPr>
                <w:rFonts w:asciiTheme="minorHAnsi" w:hAnsiTheme="minorHAnsi"/>
                <w:color w:val="auto"/>
                <w:sz w:val="22"/>
                <w:szCs w:val="22"/>
              </w:rPr>
              <w:t>% (min)</w:t>
            </w:r>
            <w:r w:rsidR="008A09ED">
              <w:rPr>
                <w:rFonts w:asciiTheme="minorHAnsi" w:hAnsiTheme="minorHAnsi"/>
                <w:color w:val="auto"/>
                <w:sz w:val="22"/>
                <w:szCs w:val="22"/>
              </w:rPr>
              <w:t>,</w:t>
            </w:r>
            <w:r w:rsidRPr="001F49B2">
              <w:rPr>
                <w:rFonts w:asciiTheme="minorHAnsi" w:hAnsiTheme="minorHAnsi"/>
                <w:color w:val="auto"/>
                <w:sz w:val="22"/>
                <w:szCs w:val="22"/>
              </w:rPr>
              <w:t xml:space="preserve"> 20xx (</w:t>
            </w:r>
            <w:proofErr w:type="spellStart"/>
            <w:r w:rsidRPr="001F49B2">
              <w:rPr>
                <w:rFonts w:asciiTheme="minorHAnsi" w:hAnsiTheme="minorHAnsi"/>
                <w:color w:val="auto"/>
                <w:sz w:val="22"/>
                <w:szCs w:val="22"/>
              </w:rPr>
              <w:t>yr</w:t>
            </w:r>
            <w:proofErr w:type="spellEnd"/>
            <w:r w:rsidRPr="001F49B2">
              <w:rPr>
                <w:rFonts w:asciiTheme="minorHAnsi" w:hAnsiTheme="minorHAnsi"/>
                <w:color w:val="auto"/>
                <w:sz w:val="22"/>
                <w:szCs w:val="22"/>
              </w:rPr>
              <w:t>)</w:t>
            </w:r>
          </w:p>
        </w:tc>
        <w:tc>
          <w:tcPr>
            <w:tcW w:w="2440" w:type="dxa"/>
            <w:shd w:val="clear" w:color="auto" w:fill="auto"/>
            <w:vAlign w:val="center"/>
          </w:tcPr>
          <w:p w:rsidR="0047359E" w:rsidRPr="001F49B2" w:rsidRDefault="0047359E">
            <w:pPr>
              <w:pStyle w:val="Default"/>
              <w:keepNext/>
              <w:jc w:val="center"/>
              <w:rPr>
                <w:rFonts w:asciiTheme="minorHAnsi" w:hAnsiTheme="minorHAnsi"/>
                <w:color w:val="auto"/>
                <w:sz w:val="22"/>
                <w:szCs w:val="22"/>
              </w:rPr>
            </w:pPr>
            <w:r w:rsidRPr="001F49B2">
              <w:rPr>
                <w:rFonts w:asciiTheme="minorHAnsi" w:hAnsiTheme="minorHAnsi" w:cstheme="minorHAnsi"/>
                <w:color w:val="auto"/>
                <w:sz w:val="22"/>
                <w:szCs w:val="22"/>
              </w:rPr>
              <w:t>≥</w:t>
            </w:r>
            <w:r w:rsidRPr="001F49B2">
              <w:rPr>
                <w:rFonts w:asciiTheme="minorHAnsi" w:hAnsiTheme="minorHAnsi"/>
                <w:color w:val="auto"/>
                <w:sz w:val="22"/>
                <w:szCs w:val="22"/>
              </w:rPr>
              <w:t xml:space="preserve"> 0.0%</w:t>
            </w:r>
          </w:p>
        </w:tc>
        <w:tc>
          <w:tcPr>
            <w:tcW w:w="2538" w:type="dxa"/>
            <w:vAlign w:val="center"/>
          </w:tcPr>
          <w:p w:rsidR="0047359E" w:rsidRPr="001F49B2" w:rsidRDefault="0047359E">
            <w:pPr>
              <w:pStyle w:val="Default"/>
              <w:keepNext/>
              <w:jc w:val="center"/>
              <w:rPr>
                <w:rFonts w:asciiTheme="minorHAnsi" w:hAnsiTheme="minorHAnsi" w:cstheme="minorHAnsi"/>
                <w:color w:val="auto"/>
                <w:sz w:val="22"/>
                <w:szCs w:val="22"/>
              </w:rPr>
            </w:pPr>
            <w:r w:rsidRPr="001F49B2">
              <w:rPr>
                <w:rFonts w:asciiTheme="minorHAnsi" w:hAnsiTheme="minorHAnsi" w:cstheme="minorHAnsi"/>
                <w:color w:val="auto"/>
                <w:sz w:val="22"/>
                <w:szCs w:val="22"/>
              </w:rPr>
              <w:t xml:space="preserve">Must </w:t>
            </w:r>
            <w:r w:rsidR="00ED1174" w:rsidRPr="001F49B2">
              <w:rPr>
                <w:rFonts w:asciiTheme="minorHAnsi" w:hAnsiTheme="minorHAnsi" w:cstheme="minorHAnsi"/>
                <w:color w:val="auto"/>
                <w:sz w:val="22"/>
                <w:szCs w:val="22"/>
              </w:rPr>
              <w:t>M</w:t>
            </w:r>
            <w:r w:rsidRPr="001F49B2">
              <w:rPr>
                <w:rFonts w:asciiTheme="minorHAnsi" w:hAnsiTheme="minorHAnsi" w:cstheme="minorHAnsi"/>
                <w:color w:val="auto"/>
                <w:sz w:val="22"/>
                <w:szCs w:val="22"/>
              </w:rPr>
              <w:t>eet</w:t>
            </w:r>
          </w:p>
        </w:tc>
      </w:tr>
      <w:tr w:rsidR="0047359E" w:rsidRPr="004506A4" w:rsidTr="00F804E8">
        <w:trPr>
          <w:trHeight w:val="576"/>
        </w:trPr>
        <w:tc>
          <w:tcPr>
            <w:tcW w:w="2879" w:type="dxa"/>
            <w:tcBorders>
              <w:bottom w:val="single" w:sz="4" w:space="0" w:color="auto"/>
            </w:tcBorders>
            <w:shd w:val="clear" w:color="auto" w:fill="auto"/>
            <w:vAlign w:val="center"/>
          </w:tcPr>
          <w:p w:rsidR="0047359E" w:rsidRPr="001F49B2" w:rsidRDefault="0047359E">
            <w:pPr>
              <w:pStyle w:val="Default"/>
              <w:keepNext/>
              <w:rPr>
                <w:rFonts w:asciiTheme="minorHAnsi" w:hAnsiTheme="minorHAnsi"/>
                <w:color w:val="auto"/>
                <w:sz w:val="22"/>
                <w:szCs w:val="22"/>
              </w:rPr>
            </w:pPr>
            <w:r w:rsidRPr="001F49B2">
              <w:rPr>
                <w:rFonts w:asciiTheme="minorHAnsi" w:hAnsiTheme="minorHAnsi"/>
                <w:color w:val="auto"/>
                <w:sz w:val="22"/>
                <w:szCs w:val="22"/>
              </w:rPr>
              <w:t>Debt Service to Operations</w:t>
            </w:r>
            <w:r w:rsidR="00F804E8" w:rsidRPr="00F804E8">
              <w:rPr>
                <w:rFonts w:asciiTheme="minorHAnsi" w:hAnsiTheme="minorHAnsi"/>
                <w:color w:val="auto"/>
                <w:sz w:val="22"/>
                <w:szCs w:val="22"/>
                <w:vertAlign w:val="superscript"/>
              </w:rPr>
              <w:t>2</w:t>
            </w:r>
          </w:p>
        </w:tc>
        <w:tc>
          <w:tcPr>
            <w:tcW w:w="2439" w:type="dxa"/>
            <w:tcBorders>
              <w:bottom w:val="single" w:sz="4" w:space="0" w:color="auto"/>
            </w:tcBorders>
            <w:shd w:val="clear" w:color="auto" w:fill="auto"/>
            <w:vAlign w:val="center"/>
          </w:tcPr>
          <w:p w:rsidR="0047359E" w:rsidRPr="001F49B2" w:rsidRDefault="00DB5800">
            <w:pPr>
              <w:pStyle w:val="Default"/>
              <w:keepNext/>
              <w:jc w:val="center"/>
              <w:rPr>
                <w:rFonts w:asciiTheme="minorHAnsi" w:hAnsiTheme="minorHAnsi"/>
                <w:color w:val="auto"/>
                <w:sz w:val="22"/>
                <w:szCs w:val="22"/>
              </w:rPr>
            </w:pPr>
            <w:r>
              <w:rPr>
                <w:rFonts w:asciiTheme="minorHAnsi" w:hAnsiTheme="minorHAnsi"/>
                <w:color w:val="auto"/>
                <w:sz w:val="22"/>
                <w:szCs w:val="22"/>
              </w:rPr>
              <w:t>%</w:t>
            </w:r>
            <w:r w:rsidR="0047359E" w:rsidRPr="001F49B2">
              <w:rPr>
                <w:rFonts w:asciiTheme="minorHAnsi" w:hAnsiTheme="minorHAnsi"/>
                <w:color w:val="auto"/>
                <w:sz w:val="22"/>
                <w:szCs w:val="22"/>
              </w:rPr>
              <w:t xml:space="preserve"> (max)</w:t>
            </w:r>
            <w:r w:rsidR="008A09ED">
              <w:rPr>
                <w:rFonts w:asciiTheme="minorHAnsi" w:hAnsiTheme="minorHAnsi"/>
                <w:color w:val="auto"/>
                <w:sz w:val="22"/>
                <w:szCs w:val="22"/>
              </w:rPr>
              <w:t>,</w:t>
            </w:r>
            <w:r w:rsidR="0047359E" w:rsidRPr="001F49B2">
              <w:rPr>
                <w:rFonts w:asciiTheme="minorHAnsi" w:hAnsiTheme="minorHAnsi"/>
                <w:color w:val="auto"/>
                <w:sz w:val="22"/>
                <w:szCs w:val="22"/>
              </w:rPr>
              <w:t xml:space="preserve"> 20xx (</w:t>
            </w:r>
            <w:proofErr w:type="spellStart"/>
            <w:r w:rsidR="0047359E" w:rsidRPr="001F49B2">
              <w:rPr>
                <w:rFonts w:asciiTheme="minorHAnsi" w:hAnsiTheme="minorHAnsi"/>
                <w:color w:val="auto"/>
                <w:sz w:val="22"/>
                <w:szCs w:val="22"/>
              </w:rPr>
              <w:t>yr</w:t>
            </w:r>
            <w:proofErr w:type="spellEnd"/>
            <w:r w:rsidR="0047359E" w:rsidRPr="001F49B2">
              <w:rPr>
                <w:rFonts w:asciiTheme="minorHAnsi" w:hAnsiTheme="minorHAnsi"/>
                <w:color w:val="auto"/>
                <w:sz w:val="22"/>
                <w:szCs w:val="22"/>
              </w:rPr>
              <w:t>)</w:t>
            </w:r>
          </w:p>
        </w:tc>
        <w:tc>
          <w:tcPr>
            <w:tcW w:w="2440" w:type="dxa"/>
            <w:tcBorders>
              <w:bottom w:val="single" w:sz="4" w:space="0" w:color="auto"/>
            </w:tcBorders>
            <w:shd w:val="clear" w:color="auto" w:fill="auto"/>
            <w:vAlign w:val="center"/>
          </w:tcPr>
          <w:p w:rsidR="0047359E" w:rsidRPr="001F49B2" w:rsidRDefault="0047359E">
            <w:pPr>
              <w:pStyle w:val="Default"/>
              <w:keepNext/>
              <w:jc w:val="center"/>
              <w:rPr>
                <w:rFonts w:asciiTheme="minorHAnsi" w:hAnsiTheme="minorHAnsi"/>
                <w:color w:val="auto"/>
                <w:sz w:val="22"/>
                <w:szCs w:val="22"/>
              </w:rPr>
            </w:pPr>
            <w:r w:rsidRPr="001F49B2">
              <w:rPr>
                <w:rFonts w:asciiTheme="minorHAnsi" w:hAnsiTheme="minorHAnsi" w:cstheme="minorHAnsi"/>
                <w:color w:val="auto"/>
                <w:sz w:val="22"/>
                <w:szCs w:val="22"/>
              </w:rPr>
              <w:t>≤</w:t>
            </w:r>
            <w:r w:rsidRPr="001F49B2">
              <w:rPr>
                <w:rFonts w:asciiTheme="minorHAnsi" w:hAnsiTheme="minorHAnsi"/>
                <w:color w:val="auto"/>
                <w:sz w:val="22"/>
                <w:szCs w:val="22"/>
              </w:rPr>
              <w:t xml:space="preserve"> 6.0%</w:t>
            </w:r>
          </w:p>
        </w:tc>
        <w:tc>
          <w:tcPr>
            <w:tcW w:w="2538" w:type="dxa"/>
            <w:vMerge w:val="restart"/>
            <w:vAlign w:val="center"/>
          </w:tcPr>
          <w:p w:rsidR="0047359E" w:rsidRPr="001F49B2" w:rsidRDefault="0047359E">
            <w:pPr>
              <w:pStyle w:val="Default"/>
              <w:keepNext/>
              <w:jc w:val="center"/>
              <w:rPr>
                <w:rFonts w:asciiTheme="minorHAnsi" w:hAnsiTheme="minorHAnsi" w:cstheme="minorHAnsi"/>
                <w:color w:val="auto"/>
                <w:sz w:val="22"/>
                <w:szCs w:val="22"/>
              </w:rPr>
            </w:pPr>
            <w:r w:rsidRPr="001F49B2">
              <w:rPr>
                <w:rFonts w:asciiTheme="minorHAnsi" w:hAnsiTheme="minorHAnsi" w:cstheme="minorHAnsi"/>
                <w:color w:val="auto"/>
                <w:sz w:val="22"/>
                <w:szCs w:val="22"/>
              </w:rPr>
              <w:t xml:space="preserve">Must </w:t>
            </w:r>
            <w:r w:rsidR="00ED1174" w:rsidRPr="001F49B2">
              <w:rPr>
                <w:rFonts w:asciiTheme="minorHAnsi" w:hAnsiTheme="minorHAnsi" w:cstheme="minorHAnsi"/>
                <w:color w:val="auto"/>
                <w:sz w:val="22"/>
                <w:szCs w:val="22"/>
              </w:rPr>
              <w:t>M</w:t>
            </w:r>
            <w:r w:rsidRPr="001F49B2">
              <w:rPr>
                <w:rFonts w:asciiTheme="minorHAnsi" w:hAnsiTheme="minorHAnsi" w:cstheme="minorHAnsi"/>
                <w:color w:val="auto"/>
                <w:sz w:val="22"/>
                <w:szCs w:val="22"/>
              </w:rPr>
              <w:t>eet 1 of 2</w:t>
            </w:r>
          </w:p>
        </w:tc>
      </w:tr>
      <w:tr w:rsidR="0047359E" w:rsidRPr="00A16463" w:rsidTr="001F49B2">
        <w:trPr>
          <w:trHeight w:val="576"/>
        </w:trPr>
        <w:tc>
          <w:tcPr>
            <w:tcW w:w="2879" w:type="dxa"/>
            <w:shd w:val="clear" w:color="auto" w:fill="auto"/>
            <w:vAlign w:val="center"/>
          </w:tcPr>
          <w:p w:rsidR="0047359E" w:rsidRPr="001F49B2" w:rsidRDefault="0047359E" w:rsidP="00EB58E3">
            <w:pPr>
              <w:pStyle w:val="Default"/>
              <w:keepNext/>
              <w:rPr>
                <w:rFonts w:asciiTheme="minorHAnsi" w:hAnsiTheme="minorHAnsi"/>
                <w:color w:val="auto"/>
                <w:sz w:val="22"/>
                <w:szCs w:val="22"/>
              </w:rPr>
            </w:pPr>
            <w:r w:rsidRPr="001F49B2">
              <w:rPr>
                <w:rFonts w:asciiTheme="minorHAnsi" w:hAnsiTheme="minorHAnsi"/>
                <w:color w:val="auto"/>
                <w:sz w:val="22"/>
                <w:szCs w:val="22"/>
              </w:rPr>
              <w:t>Expendable Resources to Debt</w:t>
            </w:r>
            <w:r w:rsidR="00F804E8" w:rsidRPr="00F804E8">
              <w:rPr>
                <w:rFonts w:asciiTheme="minorHAnsi" w:hAnsiTheme="minorHAnsi"/>
                <w:color w:val="auto"/>
                <w:sz w:val="22"/>
                <w:szCs w:val="22"/>
                <w:vertAlign w:val="superscript"/>
              </w:rPr>
              <w:t>2</w:t>
            </w:r>
            <w:r w:rsidR="00EB58E3">
              <w:rPr>
                <w:rFonts w:asciiTheme="minorHAnsi" w:hAnsiTheme="minorHAnsi"/>
                <w:color w:val="auto"/>
                <w:sz w:val="22"/>
                <w:szCs w:val="22"/>
                <w:vertAlign w:val="superscript"/>
              </w:rPr>
              <w:t xml:space="preserve"> 5</w:t>
            </w:r>
          </w:p>
        </w:tc>
        <w:tc>
          <w:tcPr>
            <w:tcW w:w="2439" w:type="dxa"/>
            <w:shd w:val="clear" w:color="auto" w:fill="auto"/>
            <w:vAlign w:val="center"/>
          </w:tcPr>
          <w:p w:rsidR="0047359E" w:rsidRPr="001F49B2" w:rsidRDefault="008A09ED">
            <w:pPr>
              <w:pStyle w:val="Default"/>
              <w:keepNext/>
              <w:jc w:val="center"/>
              <w:rPr>
                <w:rFonts w:asciiTheme="minorHAnsi" w:hAnsiTheme="minorHAnsi"/>
                <w:color w:val="auto"/>
                <w:sz w:val="22"/>
                <w:szCs w:val="22"/>
              </w:rPr>
            </w:pPr>
            <w:r>
              <w:rPr>
                <w:rFonts w:asciiTheme="minorHAnsi" w:hAnsiTheme="minorHAnsi"/>
                <w:color w:val="auto"/>
                <w:sz w:val="22"/>
                <w:szCs w:val="22"/>
              </w:rPr>
              <w:t>x,</w:t>
            </w:r>
            <w:r w:rsidR="0047359E" w:rsidRPr="001F49B2">
              <w:rPr>
                <w:rFonts w:asciiTheme="minorHAnsi" w:hAnsiTheme="minorHAnsi"/>
                <w:color w:val="auto"/>
                <w:sz w:val="22"/>
                <w:szCs w:val="22"/>
              </w:rPr>
              <w:t xml:space="preserve"> 20xx (</w:t>
            </w:r>
            <w:proofErr w:type="spellStart"/>
            <w:r w:rsidR="0047359E" w:rsidRPr="001F49B2">
              <w:rPr>
                <w:rFonts w:asciiTheme="minorHAnsi" w:hAnsiTheme="minorHAnsi"/>
                <w:color w:val="auto"/>
                <w:sz w:val="22"/>
                <w:szCs w:val="22"/>
              </w:rPr>
              <w:t>yr</w:t>
            </w:r>
            <w:proofErr w:type="spellEnd"/>
            <w:r w:rsidR="0047359E" w:rsidRPr="001F49B2">
              <w:rPr>
                <w:rFonts w:asciiTheme="minorHAnsi" w:hAnsiTheme="minorHAnsi"/>
                <w:color w:val="auto"/>
                <w:sz w:val="22"/>
                <w:szCs w:val="22"/>
              </w:rPr>
              <w:t>)</w:t>
            </w:r>
          </w:p>
        </w:tc>
        <w:tc>
          <w:tcPr>
            <w:tcW w:w="2440" w:type="dxa"/>
            <w:shd w:val="clear" w:color="auto" w:fill="auto"/>
            <w:vAlign w:val="center"/>
          </w:tcPr>
          <w:p w:rsidR="0047359E" w:rsidRPr="001F49B2" w:rsidRDefault="0047359E">
            <w:pPr>
              <w:pStyle w:val="Default"/>
              <w:keepNext/>
              <w:jc w:val="center"/>
              <w:rPr>
                <w:rFonts w:asciiTheme="minorHAnsi" w:hAnsiTheme="minorHAnsi"/>
                <w:color w:val="auto"/>
                <w:sz w:val="22"/>
                <w:szCs w:val="22"/>
              </w:rPr>
            </w:pPr>
            <w:r w:rsidRPr="001F49B2">
              <w:rPr>
                <w:rFonts w:asciiTheme="minorHAnsi" w:hAnsiTheme="minorHAnsi" w:cstheme="minorHAnsi"/>
                <w:color w:val="auto"/>
                <w:sz w:val="22"/>
                <w:szCs w:val="22"/>
              </w:rPr>
              <w:t>≥</w:t>
            </w:r>
            <w:r w:rsidRPr="001F49B2">
              <w:rPr>
                <w:rFonts w:asciiTheme="minorHAnsi" w:hAnsiTheme="minorHAnsi"/>
                <w:color w:val="auto"/>
                <w:sz w:val="22"/>
                <w:szCs w:val="22"/>
              </w:rPr>
              <w:t xml:space="preserve"> 1.00x</w:t>
            </w:r>
          </w:p>
        </w:tc>
        <w:tc>
          <w:tcPr>
            <w:tcW w:w="2538" w:type="dxa"/>
            <w:vMerge/>
            <w:vAlign w:val="center"/>
          </w:tcPr>
          <w:p w:rsidR="0047359E" w:rsidRPr="001F49B2" w:rsidRDefault="0047359E">
            <w:pPr>
              <w:pStyle w:val="Default"/>
              <w:keepNext/>
              <w:jc w:val="center"/>
              <w:rPr>
                <w:rFonts w:asciiTheme="minorHAnsi" w:hAnsiTheme="minorHAnsi" w:cstheme="minorHAnsi"/>
                <w:color w:val="auto"/>
                <w:sz w:val="22"/>
                <w:szCs w:val="22"/>
              </w:rPr>
            </w:pPr>
          </w:p>
        </w:tc>
      </w:tr>
      <w:tr w:rsidR="0047359E" w:rsidRPr="00A16463" w:rsidTr="00F804E8">
        <w:trPr>
          <w:trHeight w:val="720"/>
        </w:trPr>
        <w:tc>
          <w:tcPr>
            <w:tcW w:w="2879" w:type="dxa"/>
            <w:shd w:val="clear" w:color="auto" w:fill="auto"/>
            <w:vAlign w:val="center"/>
          </w:tcPr>
          <w:p w:rsidR="0047359E" w:rsidRPr="001F49B2" w:rsidRDefault="0047359E">
            <w:pPr>
              <w:pStyle w:val="Default"/>
              <w:keepNext/>
              <w:rPr>
                <w:rFonts w:asciiTheme="minorHAnsi" w:hAnsiTheme="minorHAnsi"/>
                <w:color w:val="auto"/>
                <w:sz w:val="22"/>
                <w:szCs w:val="22"/>
              </w:rPr>
            </w:pPr>
            <w:r w:rsidRPr="001F49B2">
              <w:rPr>
                <w:rFonts w:asciiTheme="minorHAnsi" w:hAnsiTheme="minorHAnsi"/>
                <w:color w:val="auto"/>
                <w:sz w:val="22"/>
                <w:szCs w:val="22"/>
              </w:rPr>
              <w:t>Auxiliary Project Debt Service Coverage</w:t>
            </w:r>
            <w:r w:rsidR="0099732A">
              <w:rPr>
                <w:rStyle w:val="FootnoteReference"/>
                <w:rFonts w:asciiTheme="minorHAnsi" w:hAnsiTheme="minorHAnsi"/>
                <w:color w:val="auto"/>
                <w:sz w:val="22"/>
                <w:szCs w:val="22"/>
              </w:rPr>
              <w:footnoteReference w:id="4"/>
            </w:r>
          </w:p>
        </w:tc>
        <w:tc>
          <w:tcPr>
            <w:tcW w:w="2439" w:type="dxa"/>
            <w:shd w:val="clear" w:color="auto" w:fill="auto"/>
            <w:vAlign w:val="center"/>
          </w:tcPr>
          <w:p w:rsidR="0047359E" w:rsidRPr="001F49B2" w:rsidRDefault="0047359E">
            <w:pPr>
              <w:pStyle w:val="Default"/>
              <w:keepNext/>
              <w:jc w:val="center"/>
              <w:rPr>
                <w:rFonts w:asciiTheme="minorHAnsi" w:hAnsiTheme="minorHAnsi"/>
                <w:color w:val="auto"/>
                <w:sz w:val="22"/>
                <w:szCs w:val="22"/>
              </w:rPr>
            </w:pPr>
            <w:r w:rsidRPr="001F49B2">
              <w:rPr>
                <w:rFonts w:asciiTheme="minorHAnsi" w:hAnsiTheme="minorHAnsi"/>
                <w:color w:val="auto"/>
                <w:sz w:val="22"/>
                <w:szCs w:val="22"/>
              </w:rPr>
              <w:t>x (min)</w:t>
            </w:r>
            <w:r w:rsidR="008A09ED">
              <w:rPr>
                <w:rFonts w:asciiTheme="minorHAnsi" w:hAnsiTheme="minorHAnsi"/>
                <w:color w:val="auto"/>
                <w:sz w:val="22"/>
                <w:szCs w:val="22"/>
              </w:rPr>
              <w:t>,</w:t>
            </w:r>
            <w:r w:rsidRPr="001F49B2">
              <w:rPr>
                <w:rFonts w:asciiTheme="minorHAnsi" w:hAnsiTheme="minorHAnsi"/>
                <w:color w:val="auto"/>
                <w:sz w:val="22"/>
                <w:szCs w:val="22"/>
              </w:rPr>
              <w:t xml:space="preserve"> 20xx (</w:t>
            </w:r>
            <w:proofErr w:type="spellStart"/>
            <w:r w:rsidRPr="001F49B2">
              <w:rPr>
                <w:rFonts w:asciiTheme="minorHAnsi" w:hAnsiTheme="minorHAnsi"/>
                <w:color w:val="auto"/>
                <w:sz w:val="22"/>
                <w:szCs w:val="22"/>
              </w:rPr>
              <w:t>yr</w:t>
            </w:r>
            <w:proofErr w:type="spellEnd"/>
            <w:r w:rsidRPr="001F49B2">
              <w:rPr>
                <w:rFonts w:asciiTheme="minorHAnsi" w:hAnsiTheme="minorHAnsi"/>
                <w:color w:val="auto"/>
                <w:sz w:val="22"/>
                <w:szCs w:val="22"/>
              </w:rPr>
              <w:t>)</w:t>
            </w:r>
          </w:p>
        </w:tc>
        <w:tc>
          <w:tcPr>
            <w:tcW w:w="2440" w:type="dxa"/>
            <w:shd w:val="clear" w:color="auto" w:fill="auto"/>
            <w:vAlign w:val="center"/>
          </w:tcPr>
          <w:p w:rsidR="0047359E" w:rsidRPr="001F49B2" w:rsidRDefault="00B843F3">
            <w:pPr>
              <w:pStyle w:val="Default"/>
              <w:keepNext/>
              <w:jc w:val="center"/>
              <w:rPr>
                <w:rFonts w:asciiTheme="minorHAnsi" w:hAnsiTheme="minorHAnsi"/>
                <w:color w:val="auto"/>
                <w:sz w:val="22"/>
                <w:szCs w:val="22"/>
              </w:rPr>
            </w:pPr>
            <w:r w:rsidRPr="001F49B2">
              <w:rPr>
                <w:rFonts w:asciiTheme="minorHAnsi" w:hAnsiTheme="minorHAnsi" w:cstheme="minorHAnsi"/>
                <w:color w:val="auto"/>
                <w:sz w:val="22"/>
                <w:szCs w:val="22"/>
              </w:rPr>
              <w:t>≥</w:t>
            </w:r>
            <w:r w:rsidRPr="001F49B2">
              <w:rPr>
                <w:rFonts w:asciiTheme="minorHAnsi" w:hAnsiTheme="minorHAnsi"/>
                <w:color w:val="auto"/>
                <w:sz w:val="22"/>
                <w:szCs w:val="22"/>
              </w:rPr>
              <w:t xml:space="preserve"> </w:t>
            </w:r>
            <w:r w:rsidR="0047359E" w:rsidRPr="001F49B2">
              <w:rPr>
                <w:rFonts w:asciiTheme="minorHAnsi" w:hAnsiTheme="minorHAnsi"/>
                <w:color w:val="auto"/>
                <w:sz w:val="22"/>
                <w:szCs w:val="22"/>
              </w:rPr>
              <w:t>1.</w:t>
            </w:r>
            <w:r w:rsidR="00CA4A6D" w:rsidRPr="001F49B2">
              <w:rPr>
                <w:rFonts w:asciiTheme="minorHAnsi" w:hAnsiTheme="minorHAnsi"/>
                <w:color w:val="auto"/>
                <w:sz w:val="22"/>
                <w:szCs w:val="22"/>
              </w:rPr>
              <w:t>1</w:t>
            </w:r>
            <w:r w:rsidR="00ED1174" w:rsidRPr="001F49B2">
              <w:rPr>
                <w:rFonts w:asciiTheme="minorHAnsi" w:hAnsiTheme="minorHAnsi"/>
                <w:color w:val="auto"/>
                <w:sz w:val="22"/>
                <w:szCs w:val="22"/>
              </w:rPr>
              <w:t>0</w:t>
            </w:r>
            <w:r w:rsidR="0047359E" w:rsidRPr="001F49B2">
              <w:rPr>
                <w:rFonts w:asciiTheme="minorHAnsi" w:hAnsiTheme="minorHAnsi"/>
                <w:color w:val="auto"/>
                <w:sz w:val="22"/>
                <w:szCs w:val="22"/>
              </w:rPr>
              <w:t>x</w:t>
            </w:r>
          </w:p>
        </w:tc>
        <w:tc>
          <w:tcPr>
            <w:tcW w:w="2538" w:type="dxa"/>
            <w:vAlign w:val="center"/>
          </w:tcPr>
          <w:p w:rsidR="0047359E" w:rsidRPr="001F49B2" w:rsidRDefault="00CA4A6D" w:rsidP="00E97D73">
            <w:pPr>
              <w:pStyle w:val="Default"/>
              <w:keepNext/>
              <w:jc w:val="center"/>
              <w:rPr>
                <w:rFonts w:asciiTheme="minorHAnsi" w:hAnsiTheme="minorHAnsi"/>
                <w:color w:val="auto"/>
                <w:sz w:val="22"/>
                <w:szCs w:val="22"/>
              </w:rPr>
            </w:pPr>
            <w:r w:rsidRPr="001F49B2">
              <w:rPr>
                <w:rFonts w:asciiTheme="minorHAnsi" w:hAnsiTheme="minorHAnsi"/>
                <w:color w:val="auto"/>
                <w:sz w:val="22"/>
                <w:szCs w:val="22"/>
              </w:rPr>
              <w:t xml:space="preserve">Must </w:t>
            </w:r>
            <w:r w:rsidR="00B843F3" w:rsidRPr="001F49B2">
              <w:rPr>
                <w:rFonts w:asciiTheme="minorHAnsi" w:hAnsiTheme="minorHAnsi"/>
                <w:color w:val="auto"/>
                <w:sz w:val="22"/>
                <w:szCs w:val="22"/>
              </w:rPr>
              <w:t>M</w:t>
            </w:r>
            <w:r w:rsidRPr="001F49B2">
              <w:rPr>
                <w:rFonts w:asciiTheme="minorHAnsi" w:hAnsiTheme="minorHAnsi"/>
                <w:color w:val="auto"/>
                <w:sz w:val="22"/>
                <w:szCs w:val="22"/>
              </w:rPr>
              <w:t>eet for Auxiliary Projects</w:t>
            </w:r>
          </w:p>
        </w:tc>
      </w:tr>
      <w:tr w:rsidR="00CA4A6D" w:rsidRPr="00A16463" w:rsidTr="00F804E8">
        <w:trPr>
          <w:trHeight w:val="864"/>
        </w:trPr>
        <w:tc>
          <w:tcPr>
            <w:tcW w:w="2879" w:type="dxa"/>
            <w:shd w:val="clear" w:color="auto" w:fill="auto"/>
            <w:vAlign w:val="center"/>
          </w:tcPr>
          <w:p w:rsidR="00CA4A6D" w:rsidRPr="001F49B2" w:rsidRDefault="00CA4A6D">
            <w:pPr>
              <w:pStyle w:val="Default"/>
              <w:keepNext/>
              <w:rPr>
                <w:rFonts w:asciiTheme="minorHAnsi" w:hAnsiTheme="minorHAnsi"/>
                <w:color w:val="auto"/>
                <w:sz w:val="22"/>
                <w:szCs w:val="22"/>
              </w:rPr>
            </w:pPr>
            <w:r w:rsidRPr="001F49B2">
              <w:rPr>
                <w:rFonts w:asciiTheme="minorHAnsi" w:hAnsiTheme="minorHAnsi"/>
                <w:color w:val="auto"/>
                <w:sz w:val="22"/>
                <w:szCs w:val="22"/>
              </w:rPr>
              <w:t xml:space="preserve">Auxiliary </w:t>
            </w:r>
            <w:r w:rsidR="00A73BC3">
              <w:rPr>
                <w:rFonts w:asciiTheme="minorHAnsi" w:hAnsiTheme="minorHAnsi"/>
                <w:color w:val="auto"/>
                <w:sz w:val="22"/>
                <w:szCs w:val="22"/>
              </w:rPr>
              <w:t xml:space="preserve">System </w:t>
            </w:r>
            <w:r w:rsidRPr="001F49B2">
              <w:rPr>
                <w:rFonts w:asciiTheme="minorHAnsi" w:hAnsiTheme="minorHAnsi"/>
                <w:color w:val="auto"/>
                <w:sz w:val="22"/>
                <w:szCs w:val="22"/>
              </w:rPr>
              <w:t>Debt Service Coverage</w:t>
            </w:r>
            <w:r w:rsidR="0099732A">
              <w:rPr>
                <w:rStyle w:val="FootnoteReference"/>
                <w:rFonts w:asciiTheme="minorHAnsi" w:hAnsiTheme="minorHAnsi"/>
                <w:color w:val="auto"/>
                <w:sz w:val="22"/>
                <w:szCs w:val="22"/>
              </w:rPr>
              <w:footnoteReference w:id="5"/>
            </w:r>
          </w:p>
        </w:tc>
        <w:tc>
          <w:tcPr>
            <w:tcW w:w="2439" w:type="dxa"/>
            <w:shd w:val="clear" w:color="auto" w:fill="auto"/>
            <w:vAlign w:val="center"/>
          </w:tcPr>
          <w:p w:rsidR="00CA4A6D" w:rsidRPr="001F49B2" w:rsidRDefault="00CA4A6D">
            <w:pPr>
              <w:pStyle w:val="Default"/>
              <w:keepNext/>
              <w:jc w:val="center"/>
              <w:rPr>
                <w:rFonts w:asciiTheme="minorHAnsi" w:hAnsiTheme="minorHAnsi"/>
                <w:color w:val="auto"/>
                <w:sz w:val="22"/>
                <w:szCs w:val="22"/>
              </w:rPr>
            </w:pPr>
            <w:r w:rsidRPr="001F49B2">
              <w:rPr>
                <w:rFonts w:asciiTheme="minorHAnsi" w:hAnsiTheme="minorHAnsi"/>
                <w:color w:val="auto"/>
                <w:sz w:val="22"/>
                <w:szCs w:val="22"/>
              </w:rPr>
              <w:t>x (min)</w:t>
            </w:r>
            <w:r w:rsidR="008A09ED">
              <w:rPr>
                <w:rFonts w:asciiTheme="minorHAnsi" w:hAnsiTheme="minorHAnsi"/>
                <w:color w:val="auto"/>
                <w:sz w:val="22"/>
                <w:szCs w:val="22"/>
              </w:rPr>
              <w:t>,</w:t>
            </w:r>
            <w:r w:rsidRPr="001F49B2">
              <w:rPr>
                <w:rFonts w:asciiTheme="minorHAnsi" w:hAnsiTheme="minorHAnsi"/>
                <w:color w:val="auto"/>
                <w:sz w:val="22"/>
                <w:szCs w:val="22"/>
              </w:rPr>
              <w:t xml:space="preserve"> 20xx (</w:t>
            </w:r>
            <w:proofErr w:type="spellStart"/>
            <w:r w:rsidRPr="001F49B2">
              <w:rPr>
                <w:rFonts w:asciiTheme="minorHAnsi" w:hAnsiTheme="minorHAnsi"/>
                <w:color w:val="auto"/>
                <w:sz w:val="22"/>
                <w:szCs w:val="22"/>
              </w:rPr>
              <w:t>yr</w:t>
            </w:r>
            <w:proofErr w:type="spellEnd"/>
            <w:r w:rsidRPr="001F49B2">
              <w:rPr>
                <w:rFonts w:asciiTheme="minorHAnsi" w:hAnsiTheme="minorHAnsi"/>
                <w:color w:val="auto"/>
                <w:sz w:val="22"/>
                <w:szCs w:val="22"/>
              </w:rPr>
              <w:t>)</w:t>
            </w:r>
          </w:p>
        </w:tc>
        <w:tc>
          <w:tcPr>
            <w:tcW w:w="2440" w:type="dxa"/>
            <w:shd w:val="clear" w:color="auto" w:fill="auto"/>
            <w:vAlign w:val="center"/>
          </w:tcPr>
          <w:p w:rsidR="00CA4A6D" w:rsidRPr="001F49B2" w:rsidRDefault="00B843F3">
            <w:pPr>
              <w:pStyle w:val="Default"/>
              <w:keepNext/>
              <w:jc w:val="center"/>
              <w:rPr>
                <w:rFonts w:asciiTheme="minorHAnsi" w:hAnsiTheme="minorHAnsi"/>
                <w:color w:val="auto"/>
                <w:sz w:val="22"/>
                <w:szCs w:val="22"/>
              </w:rPr>
            </w:pPr>
            <w:r w:rsidRPr="001F49B2">
              <w:rPr>
                <w:rFonts w:asciiTheme="minorHAnsi" w:hAnsiTheme="minorHAnsi" w:cstheme="minorHAnsi"/>
                <w:color w:val="auto"/>
                <w:sz w:val="22"/>
                <w:szCs w:val="22"/>
              </w:rPr>
              <w:t>≥</w:t>
            </w:r>
            <w:r w:rsidRPr="001F49B2">
              <w:rPr>
                <w:rFonts w:asciiTheme="minorHAnsi" w:hAnsiTheme="minorHAnsi"/>
                <w:color w:val="auto"/>
                <w:sz w:val="22"/>
                <w:szCs w:val="22"/>
              </w:rPr>
              <w:t xml:space="preserve"> </w:t>
            </w:r>
            <w:r w:rsidR="00CA4A6D" w:rsidRPr="001F49B2">
              <w:rPr>
                <w:rFonts w:asciiTheme="minorHAnsi" w:hAnsiTheme="minorHAnsi"/>
                <w:color w:val="auto"/>
                <w:sz w:val="22"/>
                <w:szCs w:val="22"/>
              </w:rPr>
              <w:t>1.25x</w:t>
            </w:r>
          </w:p>
        </w:tc>
        <w:tc>
          <w:tcPr>
            <w:tcW w:w="2538" w:type="dxa"/>
            <w:vAlign w:val="center"/>
          </w:tcPr>
          <w:p w:rsidR="00CA4A6D" w:rsidRPr="001F49B2" w:rsidRDefault="00CA4A6D" w:rsidP="00E97D73">
            <w:pPr>
              <w:pStyle w:val="Default"/>
              <w:keepNext/>
              <w:jc w:val="center"/>
              <w:rPr>
                <w:rFonts w:asciiTheme="minorHAnsi" w:hAnsiTheme="minorHAnsi"/>
                <w:color w:val="auto"/>
                <w:sz w:val="22"/>
                <w:szCs w:val="22"/>
              </w:rPr>
            </w:pPr>
            <w:r w:rsidRPr="001F49B2">
              <w:rPr>
                <w:rFonts w:asciiTheme="minorHAnsi" w:hAnsiTheme="minorHAnsi"/>
                <w:color w:val="auto"/>
                <w:sz w:val="22"/>
                <w:szCs w:val="22"/>
              </w:rPr>
              <w:t xml:space="preserve">Must </w:t>
            </w:r>
            <w:r w:rsidR="00B843F3" w:rsidRPr="001F49B2">
              <w:rPr>
                <w:rFonts w:asciiTheme="minorHAnsi" w:hAnsiTheme="minorHAnsi"/>
                <w:color w:val="auto"/>
                <w:sz w:val="22"/>
                <w:szCs w:val="22"/>
              </w:rPr>
              <w:t>M</w:t>
            </w:r>
            <w:r w:rsidRPr="001F49B2">
              <w:rPr>
                <w:rFonts w:asciiTheme="minorHAnsi" w:hAnsiTheme="minorHAnsi"/>
                <w:color w:val="auto"/>
                <w:sz w:val="22"/>
                <w:szCs w:val="22"/>
              </w:rPr>
              <w:t>eet for Auxiliary Projects</w:t>
            </w:r>
          </w:p>
        </w:tc>
      </w:tr>
    </w:tbl>
    <w:p w:rsidR="009C4846" w:rsidRDefault="009C4846" w:rsidP="0057695F">
      <w:pPr>
        <w:spacing w:after="0"/>
        <w:rPr>
          <w:sz w:val="20"/>
        </w:rPr>
      </w:pPr>
    </w:p>
    <w:p w:rsidR="009C4846" w:rsidRDefault="009C4846">
      <w:pPr>
        <w:spacing w:after="0" w:line="240" w:lineRule="auto"/>
        <w:rPr>
          <w:sz w:val="20"/>
        </w:rPr>
      </w:pPr>
      <w:r>
        <w:rPr>
          <w:sz w:val="20"/>
        </w:rPr>
        <w:br w:type="page"/>
      </w:r>
    </w:p>
    <w:p w:rsidR="009C4846" w:rsidRDefault="009C4846" w:rsidP="009C4846">
      <w:pPr>
        <w:pStyle w:val="Default"/>
        <w:keepNext/>
        <w:rPr>
          <w:rFonts w:asciiTheme="minorHAnsi" w:hAnsiTheme="minorHAnsi"/>
          <w:b/>
          <w:color w:val="auto"/>
          <w:sz w:val="22"/>
          <w:szCs w:val="22"/>
        </w:rPr>
      </w:pPr>
      <w:proofErr w:type="gramStart"/>
      <w:r w:rsidRPr="00A16463">
        <w:rPr>
          <w:rFonts w:asciiTheme="minorHAnsi" w:hAnsiTheme="minorHAnsi"/>
          <w:b/>
          <w:color w:val="auto"/>
          <w:sz w:val="22"/>
          <w:szCs w:val="22"/>
        </w:rPr>
        <w:lastRenderedPageBreak/>
        <w:t>SECTION II.</w:t>
      </w:r>
      <w:proofErr w:type="gramEnd"/>
      <w:r w:rsidRPr="00A16463">
        <w:rPr>
          <w:rFonts w:asciiTheme="minorHAnsi" w:hAnsiTheme="minorHAnsi"/>
          <w:b/>
          <w:color w:val="auto"/>
          <w:sz w:val="22"/>
          <w:szCs w:val="22"/>
        </w:rPr>
        <w:t xml:space="preserve">  Standby Financed Projects</w:t>
      </w:r>
      <w:r>
        <w:rPr>
          <w:rFonts w:asciiTheme="minorHAnsi" w:hAnsiTheme="minorHAnsi"/>
          <w:b/>
          <w:color w:val="auto"/>
          <w:sz w:val="22"/>
          <w:szCs w:val="22"/>
        </w:rPr>
        <w:t xml:space="preserve"> </w:t>
      </w:r>
    </w:p>
    <w:p w:rsidR="009C4846" w:rsidRDefault="009C4846" w:rsidP="009C4846">
      <w:pPr>
        <w:pStyle w:val="Default"/>
        <w:keepNext/>
        <w:tabs>
          <w:tab w:val="left" w:pos="540"/>
        </w:tabs>
        <w:rPr>
          <w:rFonts w:asciiTheme="minorHAnsi" w:hAnsiTheme="minorHAnsi"/>
          <w:color w:val="auto"/>
          <w:sz w:val="20"/>
        </w:rPr>
      </w:pPr>
      <w:r w:rsidRPr="00A16463">
        <w:rPr>
          <w:rFonts w:asciiTheme="minorHAnsi" w:hAnsiTheme="minorHAnsi"/>
          <w:color w:val="auto"/>
          <w:sz w:val="20"/>
        </w:rPr>
        <w:t xml:space="preserve">Approval for </w:t>
      </w:r>
      <w:r>
        <w:rPr>
          <w:rFonts w:asciiTheme="minorHAnsi" w:hAnsiTheme="minorHAnsi"/>
          <w:color w:val="auto"/>
          <w:sz w:val="20"/>
        </w:rPr>
        <w:t>s</w:t>
      </w:r>
      <w:r w:rsidRPr="00A16463">
        <w:rPr>
          <w:rFonts w:asciiTheme="minorHAnsi" w:hAnsiTheme="minorHAnsi"/>
          <w:color w:val="auto"/>
          <w:sz w:val="20"/>
        </w:rPr>
        <w:t>tandby and</w:t>
      </w:r>
      <w:r>
        <w:rPr>
          <w:rFonts w:asciiTheme="minorHAnsi" w:hAnsiTheme="minorHAnsi"/>
          <w:color w:val="auto"/>
          <w:sz w:val="20"/>
        </w:rPr>
        <w:t>/or</w:t>
      </w:r>
      <w:r w:rsidRPr="00A16463">
        <w:rPr>
          <w:rFonts w:asciiTheme="minorHAnsi" w:hAnsiTheme="minorHAnsi"/>
          <w:color w:val="auto"/>
          <w:sz w:val="20"/>
        </w:rPr>
        <w:t xml:space="preserve"> </w:t>
      </w:r>
      <w:r>
        <w:rPr>
          <w:rFonts w:asciiTheme="minorHAnsi" w:hAnsiTheme="minorHAnsi"/>
          <w:color w:val="auto"/>
          <w:sz w:val="20"/>
        </w:rPr>
        <w:t>i</w:t>
      </w:r>
      <w:r w:rsidRPr="00A16463">
        <w:rPr>
          <w:rFonts w:asciiTheme="minorHAnsi" w:hAnsiTheme="minorHAnsi"/>
          <w:color w:val="auto"/>
          <w:sz w:val="20"/>
        </w:rPr>
        <w:t>nterim financing is sought in order to bridge the timing difference between project expenditures and receipt of gift</w:t>
      </w:r>
      <w:r>
        <w:rPr>
          <w:rFonts w:asciiTheme="minorHAnsi" w:hAnsiTheme="minorHAnsi"/>
          <w:color w:val="auto"/>
          <w:sz w:val="20"/>
        </w:rPr>
        <w:t xml:space="preserve"> or other specified </w:t>
      </w:r>
      <w:r w:rsidRPr="00A16463">
        <w:rPr>
          <w:rFonts w:asciiTheme="minorHAnsi" w:hAnsiTheme="minorHAnsi"/>
          <w:color w:val="auto"/>
          <w:sz w:val="20"/>
        </w:rPr>
        <w:t xml:space="preserve">funds. </w:t>
      </w:r>
      <w:r>
        <w:rPr>
          <w:rFonts w:asciiTheme="minorHAnsi" w:hAnsiTheme="minorHAnsi"/>
          <w:color w:val="auto"/>
          <w:sz w:val="20"/>
        </w:rPr>
        <w:t>Standby financing is requested for gifts (or other funds as specified below) pledged, but not yet in hand.</w:t>
      </w:r>
    </w:p>
    <w:p w:rsidR="009C4846" w:rsidRDefault="009C4846" w:rsidP="009C4846">
      <w:pPr>
        <w:pStyle w:val="Default"/>
        <w:keepNext/>
        <w:tabs>
          <w:tab w:val="left" w:pos="540"/>
        </w:tabs>
        <w:rPr>
          <w:rFonts w:asciiTheme="minorHAnsi" w:hAnsiTheme="minorHAnsi"/>
          <w:color w:val="auto"/>
          <w:sz w:val="20"/>
        </w:rPr>
      </w:pPr>
    </w:p>
    <w:p w:rsidR="009C4846" w:rsidRDefault="009C4846" w:rsidP="009C4846">
      <w:pPr>
        <w:pStyle w:val="Default"/>
        <w:keepNext/>
        <w:tabs>
          <w:tab w:val="left" w:pos="540"/>
        </w:tabs>
        <w:rPr>
          <w:rFonts w:asciiTheme="minorHAnsi" w:hAnsiTheme="minorHAnsi"/>
          <w:color w:val="auto"/>
          <w:sz w:val="20"/>
        </w:rPr>
      </w:pPr>
      <w:r>
        <w:rPr>
          <w:rFonts w:asciiTheme="minorHAnsi" w:hAnsiTheme="minorHAnsi"/>
          <w:color w:val="auto"/>
          <w:sz w:val="20"/>
        </w:rPr>
        <w:t>Information below is for standby financing related to gifts. The c</w:t>
      </w:r>
      <w:r w:rsidRPr="00A16463">
        <w:rPr>
          <w:rFonts w:asciiTheme="minorHAnsi" w:hAnsiTheme="minorHAnsi"/>
          <w:color w:val="auto"/>
          <w:sz w:val="20"/>
        </w:rPr>
        <w:t>ampus will provid</w:t>
      </w:r>
      <w:r>
        <w:rPr>
          <w:rFonts w:asciiTheme="minorHAnsi" w:hAnsiTheme="minorHAnsi"/>
          <w:color w:val="auto"/>
          <w:sz w:val="20"/>
        </w:rPr>
        <w:t xml:space="preserve">e </w:t>
      </w:r>
      <w:r w:rsidRPr="00A16463">
        <w:rPr>
          <w:rFonts w:asciiTheme="minorHAnsi" w:hAnsiTheme="minorHAnsi"/>
          <w:color w:val="auto"/>
          <w:sz w:val="20"/>
        </w:rPr>
        <w:t xml:space="preserve">periodic status reports on the gift campaign and collection. </w:t>
      </w:r>
      <w:r w:rsidRPr="00A16463">
        <w:rPr>
          <w:rFonts w:asciiTheme="minorHAnsi" w:hAnsiTheme="minorHAnsi"/>
          <w:color w:val="auto"/>
          <w:sz w:val="20"/>
        </w:rPr>
        <w:tab/>
      </w:r>
    </w:p>
    <w:p w:rsidR="009C4846" w:rsidRPr="00A16463" w:rsidRDefault="009C4846" w:rsidP="009C4846">
      <w:pPr>
        <w:pStyle w:val="Default"/>
        <w:keepNext/>
        <w:tabs>
          <w:tab w:val="left" w:pos="540"/>
        </w:tabs>
        <w:rPr>
          <w:rFonts w:asciiTheme="minorHAnsi" w:hAnsiTheme="minorHAnsi"/>
          <w:color w:val="auto"/>
          <w:sz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28"/>
        <w:gridCol w:w="4500"/>
      </w:tblGrid>
      <w:tr w:rsidR="009C4846" w:rsidRPr="00A16463" w:rsidTr="002739DD">
        <w:tc>
          <w:tcPr>
            <w:tcW w:w="9828" w:type="dxa"/>
            <w:gridSpan w:val="2"/>
            <w:shd w:val="clear" w:color="auto" w:fill="D9D9D9" w:themeFill="background1" w:themeFillShade="D9"/>
          </w:tcPr>
          <w:p w:rsidR="009C4846" w:rsidRPr="00A16463" w:rsidRDefault="009C4846" w:rsidP="002739DD">
            <w:pPr>
              <w:pStyle w:val="Default"/>
              <w:keepNext/>
              <w:spacing w:before="40" w:after="40"/>
              <w:jc w:val="center"/>
              <w:rPr>
                <w:rFonts w:asciiTheme="minorHAnsi" w:hAnsiTheme="minorHAnsi"/>
                <w:b/>
                <w:caps/>
                <w:color w:val="auto"/>
                <w:spacing w:val="20"/>
                <w:sz w:val="22"/>
                <w:szCs w:val="22"/>
              </w:rPr>
            </w:pPr>
            <w:r w:rsidRPr="00A16463">
              <w:rPr>
                <w:rFonts w:asciiTheme="minorHAnsi" w:hAnsiTheme="minorHAnsi"/>
                <w:b/>
                <w:caps/>
                <w:color w:val="auto"/>
                <w:spacing w:val="20"/>
                <w:sz w:val="22"/>
                <w:szCs w:val="22"/>
              </w:rPr>
              <w:t xml:space="preserve">Campaign Summary </w:t>
            </w:r>
          </w:p>
        </w:tc>
      </w:tr>
      <w:tr w:rsidR="009C4846" w:rsidRPr="00A16463" w:rsidTr="002739DD">
        <w:tc>
          <w:tcPr>
            <w:tcW w:w="5328" w:type="dxa"/>
            <w:shd w:val="clear" w:color="auto" w:fill="auto"/>
          </w:tcPr>
          <w:p w:rsidR="009C4846" w:rsidRPr="00A16463" w:rsidRDefault="009C4846" w:rsidP="002739DD">
            <w:pPr>
              <w:pStyle w:val="Default"/>
              <w:keepNext/>
              <w:spacing w:before="40" w:after="40"/>
              <w:rPr>
                <w:rFonts w:asciiTheme="minorHAnsi" w:hAnsiTheme="minorHAnsi"/>
                <w:color w:val="auto"/>
                <w:sz w:val="22"/>
                <w:szCs w:val="22"/>
              </w:rPr>
            </w:pPr>
            <w:r w:rsidRPr="00A16463">
              <w:rPr>
                <w:rFonts w:asciiTheme="minorHAnsi" w:hAnsiTheme="minorHAnsi"/>
                <w:color w:val="auto"/>
                <w:sz w:val="22"/>
                <w:szCs w:val="22"/>
              </w:rPr>
              <w:t>Cash on Hand</w:t>
            </w:r>
          </w:p>
        </w:tc>
        <w:tc>
          <w:tcPr>
            <w:tcW w:w="4500" w:type="dxa"/>
            <w:shd w:val="clear" w:color="auto" w:fill="auto"/>
          </w:tcPr>
          <w:p w:rsidR="009C4846" w:rsidRPr="00A16463" w:rsidRDefault="009C4846" w:rsidP="002739DD">
            <w:pPr>
              <w:pStyle w:val="Default"/>
              <w:keepNext/>
              <w:spacing w:before="40" w:after="40"/>
              <w:rPr>
                <w:rFonts w:asciiTheme="minorHAnsi" w:hAnsiTheme="minorHAnsi"/>
                <w:b/>
                <w:color w:val="auto"/>
                <w:sz w:val="22"/>
                <w:szCs w:val="22"/>
              </w:rPr>
            </w:pPr>
            <w:r w:rsidRPr="00A16463">
              <w:rPr>
                <w:rFonts w:asciiTheme="minorHAnsi" w:hAnsiTheme="minorHAnsi"/>
                <w:b/>
                <w:color w:val="auto"/>
                <w:sz w:val="22"/>
                <w:szCs w:val="22"/>
              </w:rPr>
              <w:t>$</w:t>
            </w:r>
          </w:p>
        </w:tc>
      </w:tr>
      <w:tr w:rsidR="009C4846" w:rsidRPr="00A16463" w:rsidTr="002739DD">
        <w:tc>
          <w:tcPr>
            <w:tcW w:w="5328" w:type="dxa"/>
            <w:shd w:val="clear" w:color="auto" w:fill="auto"/>
          </w:tcPr>
          <w:p w:rsidR="009C4846" w:rsidRPr="00A16463" w:rsidRDefault="009C4846" w:rsidP="002739DD">
            <w:pPr>
              <w:pStyle w:val="Default"/>
              <w:keepNext/>
              <w:spacing w:before="40" w:after="40"/>
              <w:rPr>
                <w:rFonts w:asciiTheme="minorHAnsi" w:hAnsiTheme="minorHAnsi"/>
                <w:color w:val="auto"/>
                <w:sz w:val="22"/>
                <w:szCs w:val="22"/>
              </w:rPr>
            </w:pPr>
            <w:r w:rsidRPr="00A16463">
              <w:rPr>
                <w:rFonts w:asciiTheme="minorHAnsi" w:hAnsiTheme="minorHAnsi"/>
                <w:color w:val="auto"/>
                <w:sz w:val="22"/>
                <w:szCs w:val="22"/>
              </w:rPr>
              <w:t xml:space="preserve">Pledged Gifts </w:t>
            </w:r>
          </w:p>
        </w:tc>
        <w:tc>
          <w:tcPr>
            <w:tcW w:w="4500" w:type="dxa"/>
            <w:shd w:val="clear" w:color="auto" w:fill="auto"/>
          </w:tcPr>
          <w:p w:rsidR="009C4846" w:rsidRPr="00A16463" w:rsidRDefault="009C4846" w:rsidP="002739DD">
            <w:pPr>
              <w:pStyle w:val="Default"/>
              <w:keepNext/>
              <w:spacing w:before="40" w:after="40"/>
              <w:rPr>
                <w:rFonts w:asciiTheme="minorHAnsi" w:hAnsiTheme="minorHAnsi"/>
                <w:b/>
                <w:color w:val="auto"/>
                <w:sz w:val="22"/>
                <w:szCs w:val="22"/>
              </w:rPr>
            </w:pPr>
            <w:r w:rsidRPr="00A16463">
              <w:rPr>
                <w:rFonts w:asciiTheme="minorHAnsi" w:hAnsiTheme="minorHAnsi"/>
                <w:b/>
                <w:color w:val="auto"/>
                <w:sz w:val="22"/>
                <w:szCs w:val="22"/>
              </w:rPr>
              <w:t>$</w:t>
            </w:r>
          </w:p>
        </w:tc>
      </w:tr>
      <w:tr w:rsidR="009C4846" w:rsidRPr="00A16463" w:rsidTr="002739DD">
        <w:tc>
          <w:tcPr>
            <w:tcW w:w="5328" w:type="dxa"/>
            <w:shd w:val="clear" w:color="auto" w:fill="auto"/>
          </w:tcPr>
          <w:p w:rsidR="009C4846" w:rsidRPr="00A16463" w:rsidRDefault="009C4846" w:rsidP="002739DD">
            <w:pPr>
              <w:pStyle w:val="Default"/>
              <w:keepNext/>
              <w:spacing w:before="40" w:after="40"/>
              <w:ind w:left="720"/>
              <w:rPr>
                <w:rFonts w:asciiTheme="minorHAnsi" w:hAnsiTheme="minorHAnsi"/>
                <w:color w:val="auto"/>
                <w:sz w:val="22"/>
                <w:szCs w:val="22"/>
              </w:rPr>
            </w:pPr>
            <w:r w:rsidRPr="00A16463">
              <w:rPr>
                <w:rFonts w:asciiTheme="minorHAnsi" w:hAnsiTheme="minorHAnsi"/>
                <w:color w:val="auto"/>
                <w:sz w:val="22"/>
                <w:szCs w:val="22"/>
              </w:rPr>
              <w:t xml:space="preserve">Secondary Repayment Source for Pledged Gifts </w:t>
            </w:r>
          </w:p>
        </w:tc>
        <w:tc>
          <w:tcPr>
            <w:tcW w:w="4500" w:type="dxa"/>
            <w:shd w:val="clear" w:color="auto" w:fill="auto"/>
          </w:tcPr>
          <w:p w:rsidR="009C4846" w:rsidRPr="00A16463" w:rsidRDefault="009C4846" w:rsidP="002739DD">
            <w:pPr>
              <w:pStyle w:val="Default"/>
              <w:keepNext/>
              <w:spacing w:before="40" w:after="40"/>
              <w:rPr>
                <w:rFonts w:asciiTheme="minorHAnsi" w:hAnsiTheme="minorHAnsi"/>
                <w:b/>
                <w:color w:val="auto"/>
                <w:sz w:val="22"/>
                <w:szCs w:val="22"/>
              </w:rPr>
            </w:pPr>
          </w:p>
        </w:tc>
      </w:tr>
      <w:tr w:rsidR="009C4846" w:rsidRPr="00A16463" w:rsidTr="002739DD">
        <w:tc>
          <w:tcPr>
            <w:tcW w:w="5328" w:type="dxa"/>
            <w:shd w:val="clear" w:color="auto" w:fill="auto"/>
          </w:tcPr>
          <w:p w:rsidR="009C4846" w:rsidRPr="00A16463" w:rsidRDefault="009C4846" w:rsidP="002739DD">
            <w:pPr>
              <w:pStyle w:val="Default"/>
              <w:keepNext/>
              <w:spacing w:before="40" w:after="40"/>
              <w:rPr>
                <w:rFonts w:asciiTheme="minorHAnsi" w:hAnsiTheme="minorHAnsi"/>
                <w:color w:val="auto"/>
                <w:sz w:val="22"/>
                <w:szCs w:val="22"/>
              </w:rPr>
            </w:pPr>
            <w:r w:rsidRPr="00A16463">
              <w:rPr>
                <w:rFonts w:asciiTheme="minorHAnsi" w:hAnsiTheme="minorHAnsi"/>
                <w:color w:val="auto"/>
                <w:sz w:val="22"/>
                <w:szCs w:val="22"/>
              </w:rPr>
              <w:tab/>
              <w:t xml:space="preserve">Uncollected Pledge Percentage (%)* </w:t>
            </w:r>
          </w:p>
        </w:tc>
        <w:tc>
          <w:tcPr>
            <w:tcW w:w="4500" w:type="dxa"/>
            <w:shd w:val="clear" w:color="auto" w:fill="auto"/>
          </w:tcPr>
          <w:p w:rsidR="009C4846" w:rsidRPr="00A16463" w:rsidRDefault="009C4846" w:rsidP="002739DD">
            <w:pPr>
              <w:pStyle w:val="Default"/>
              <w:keepNext/>
              <w:spacing w:before="40" w:after="40"/>
              <w:rPr>
                <w:rFonts w:asciiTheme="minorHAnsi" w:hAnsiTheme="minorHAnsi"/>
                <w:b/>
                <w:color w:val="auto"/>
                <w:sz w:val="22"/>
                <w:szCs w:val="22"/>
              </w:rPr>
            </w:pPr>
            <w:r w:rsidRPr="00A16463">
              <w:rPr>
                <w:rFonts w:asciiTheme="minorHAnsi" w:hAnsiTheme="minorHAnsi"/>
                <w:b/>
                <w:color w:val="auto"/>
                <w:sz w:val="22"/>
                <w:szCs w:val="22"/>
              </w:rPr>
              <w:t>X%</w:t>
            </w:r>
          </w:p>
        </w:tc>
      </w:tr>
      <w:tr w:rsidR="009C4846" w:rsidRPr="00A16463" w:rsidTr="002739DD">
        <w:tc>
          <w:tcPr>
            <w:tcW w:w="5328" w:type="dxa"/>
            <w:shd w:val="clear" w:color="auto" w:fill="auto"/>
          </w:tcPr>
          <w:p w:rsidR="009C4846" w:rsidRPr="00A16463" w:rsidRDefault="009C4846" w:rsidP="002739DD">
            <w:pPr>
              <w:pStyle w:val="Default"/>
              <w:keepNext/>
              <w:spacing w:before="40" w:after="40"/>
              <w:rPr>
                <w:rFonts w:asciiTheme="minorHAnsi" w:hAnsiTheme="minorHAnsi"/>
                <w:color w:val="auto"/>
                <w:sz w:val="22"/>
                <w:szCs w:val="22"/>
              </w:rPr>
            </w:pPr>
            <w:r w:rsidRPr="00A16463">
              <w:rPr>
                <w:rFonts w:asciiTheme="minorHAnsi" w:hAnsiTheme="minorHAnsi"/>
                <w:color w:val="auto"/>
                <w:sz w:val="22"/>
                <w:szCs w:val="22"/>
              </w:rPr>
              <w:t>Additional Gifts To be Raised</w:t>
            </w:r>
          </w:p>
        </w:tc>
        <w:tc>
          <w:tcPr>
            <w:tcW w:w="4500" w:type="dxa"/>
            <w:shd w:val="clear" w:color="auto" w:fill="auto"/>
          </w:tcPr>
          <w:p w:rsidR="009C4846" w:rsidRPr="00A16463" w:rsidRDefault="009C4846" w:rsidP="002739DD">
            <w:pPr>
              <w:pStyle w:val="Default"/>
              <w:keepNext/>
              <w:spacing w:before="40" w:after="40"/>
              <w:rPr>
                <w:rFonts w:asciiTheme="minorHAnsi" w:hAnsiTheme="minorHAnsi"/>
                <w:b/>
                <w:color w:val="auto"/>
                <w:sz w:val="22"/>
                <w:szCs w:val="22"/>
              </w:rPr>
            </w:pPr>
            <w:r w:rsidRPr="00A16463">
              <w:rPr>
                <w:rFonts w:asciiTheme="minorHAnsi" w:hAnsiTheme="minorHAnsi"/>
                <w:b/>
                <w:color w:val="auto"/>
                <w:sz w:val="22"/>
                <w:szCs w:val="22"/>
              </w:rPr>
              <w:t>$</w:t>
            </w:r>
          </w:p>
        </w:tc>
      </w:tr>
      <w:tr w:rsidR="009C4846" w:rsidRPr="00A16463" w:rsidTr="002739DD">
        <w:tc>
          <w:tcPr>
            <w:tcW w:w="5328" w:type="dxa"/>
            <w:shd w:val="clear" w:color="auto" w:fill="auto"/>
          </w:tcPr>
          <w:p w:rsidR="009C4846" w:rsidRPr="00A16463" w:rsidRDefault="009C4846" w:rsidP="002739DD">
            <w:pPr>
              <w:pStyle w:val="Default"/>
              <w:keepNext/>
              <w:spacing w:before="40" w:after="40"/>
              <w:rPr>
                <w:rFonts w:asciiTheme="minorHAnsi" w:hAnsiTheme="minorHAnsi"/>
                <w:color w:val="auto"/>
                <w:sz w:val="22"/>
                <w:szCs w:val="22"/>
              </w:rPr>
            </w:pPr>
            <w:r w:rsidRPr="00A16463">
              <w:rPr>
                <w:rFonts w:asciiTheme="minorHAnsi" w:hAnsiTheme="minorHAnsi"/>
                <w:color w:val="auto"/>
                <w:sz w:val="22"/>
                <w:szCs w:val="22"/>
              </w:rPr>
              <w:t>Total Approved Gift Campaign</w:t>
            </w:r>
          </w:p>
        </w:tc>
        <w:tc>
          <w:tcPr>
            <w:tcW w:w="4500" w:type="dxa"/>
            <w:shd w:val="clear" w:color="auto" w:fill="auto"/>
          </w:tcPr>
          <w:p w:rsidR="009C4846" w:rsidRPr="00A16463" w:rsidRDefault="009C4846" w:rsidP="002739DD">
            <w:pPr>
              <w:pStyle w:val="Default"/>
              <w:keepNext/>
              <w:spacing w:before="40" w:after="40"/>
              <w:rPr>
                <w:rFonts w:asciiTheme="minorHAnsi" w:hAnsiTheme="minorHAnsi"/>
                <w:b/>
                <w:color w:val="auto"/>
                <w:sz w:val="22"/>
                <w:szCs w:val="22"/>
              </w:rPr>
            </w:pPr>
            <w:r w:rsidRPr="00A16463">
              <w:rPr>
                <w:rFonts w:asciiTheme="minorHAnsi" w:hAnsiTheme="minorHAnsi"/>
                <w:b/>
                <w:color w:val="auto"/>
                <w:sz w:val="22"/>
                <w:szCs w:val="22"/>
              </w:rPr>
              <w:t>$</w:t>
            </w:r>
          </w:p>
        </w:tc>
      </w:tr>
      <w:tr w:rsidR="009C4846" w:rsidRPr="00A16463" w:rsidTr="002739DD">
        <w:tc>
          <w:tcPr>
            <w:tcW w:w="5328" w:type="dxa"/>
            <w:shd w:val="clear" w:color="auto" w:fill="auto"/>
          </w:tcPr>
          <w:p w:rsidR="009C4846" w:rsidRPr="00A16463" w:rsidRDefault="009C4846" w:rsidP="002739DD">
            <w:pPr>
              <w:pStyle w:val="Default"/>
              <w:keepNext/>
              <w:spacing w:before="40" w:after="40"/>
              <w:rPr>
                <w:rFonts w:asciiTheme="minorHAnsi" w:hAnsiTheme="minorHAnsi"/>
                <w:color w:val="auto"/>
                <w:sz w:val="22"/>
                <w:szCs w:val="22"/>
              </w:rPr>
            </w:pPr>
            <w:r>
              <w:rPr>
                <w:rFonts w:asciiTheme="minorHAnsi" w:hAnsiTheme="minorHAnsi"/>
                <w:color w:val="auto"/>
                <w:sz w:val="22"/>
                <w:szCs w:val="22"/>
              </w:rPr>
              <w:t>Term of Standby Request (# of years)</w:t>
            </w:r>
          </w:p>
        </w:tc>
        <w:tc>
          <w:tcPr>
            <w:tcW w:w="4500" w:type="dxa"/>
            <w:shd w:val="clear" w:color="auto" w:fill="auto"/>
          </w:tcPr>
          <w:p w:rsidR="009C4846" w:rsidRPr="00A16463" w:rsidRDefault="009C4846" w:rsidP="002739DD">
            <w:pPr>
              <w:pStyle w:val="Default"/>
              <w:keepNext/>
              <w:spacing w:before="40" w:after="40"/>
              <w:rPr>
                <w:rFonts w:asciiTheme="minorHAnsi" w:hAnsiTheme="minorHAnsi"/>
                <w:b/>
                <w:color w:val="auto"/>
                <w:sz w:val="22"/>
                <w:szCs w:val="22"/>
              </w:rPr>
            </w:pPr>
          </w:p>
        </w:tc>
      </w:tr>
    </w:tbl>
    <w:p w:rsidR="009C4846" w:rsidRPr="00A16463" w:rsidRDefault="009C4846" w:rsidP="009C4846">
      <w:pPr>
        <w:spacing w:after="0" w:line="240" w:lineRule="auto"/>
        <w:ind w:left="180" w:hanging="180"/>
        <w:rPr>
          <w:sz w:val="20"/>
          <w:szCs w:val="20"/>
        </w:rPr>
      </w:pPr>
      <w:r w:rsidRPr="00A16463">
        <w:rPr>
          <w:sz w:val="20"/>
          <w:szCs w:val="20"/>
        </w:rPr>
        <w:t>*</w:t>
      </w:r>
      <w:r w:rsidRPr="00A16463">
        <w:rPr>
          <w:sz w:val="20"/>
          <w:szCs w:val="20"/>
        </w:rPr>
        <w:tab/>
        <w:t>Percentage of pledges to the campus which have not been made on schedule over the last ten years</w:t>
      </w:r>
      <w:r w:rsidRPr="00A16463">
        <w:rPr>
          <w:i/>
          <w:sz w:val="20"/>
          <w:szCs w:val="20"/>
        </w:rPr>
        <w:t xml:space="preserve">.  </w:t>
      </w:r>
    </w:p>
    <w:p w:rsidR="009C4846" w:rsidRDefault="009C4846" w:rsidP="009C4846">
      <w:pPr>
        <w:pStyle w:val="Default"/>
        <w:keepNext/>
        <w:rPr>
          <w:rFonts w:asciiTheme="minorHAnsi" w:hAnsiTheme="minorHAnsi"/>
          <w:color w:val="auto"/>
          <w:sz w:val="22"/>
          <w:szCs w:val="22"/>
        </w:rPr>
      </w:pPr>
    </w:p>
    <w:p w:rsidR="009C4846" w:rsidRDefault="009C4846" w:rsidP="009C4846">
      <w:pPr>
        <w:pStyle w:val="Default"/>
        <w:keepNext/>
        <w:rPr>
          <w:rFonts w:asciiTheme="minorHAnsi" w:hAnsiTheme="minorHAnsi"/>
          <w:color w:val="auto"/>
          <w:sz w:val="20"/>
        </w:rPr>
      </w:pPr>
      <w:r>
        <w:rPr>
          <w:rFonts w:asciiTheme="minorHAnsi" w:hAnsiTheme="minorHAnsi"/>
          <w:color w:val="auto"/>
          <w:sz w:val="20"/>
        </w:rPr>
        <w:t xml:space="preserve">Information </w:t>
      </w:r>
      <w:r w:rsidRPr="002739DD">
        <w:rPr>
          <w:rFonts w:asciiTheme="minorHAnsi" w:hAnsiTheme="minorHAnsi"/>
          <w:color w:val="auto"/>
          <w:sz w:val="20"/>
        </w:rPr>
        <w:t>below is for standby financing that is not gift</w:t>
      </w:r>
      <w:r>
        <w:rPr>
          <w:rFonts w:asciiTheme="minorHAnsi" w:hAnsiTheme="minorHAnsi"/>
          <w:color w:val="auto"/>
          <w:sz w:val="20"/>
        </w:rPr>
        <w:t>-</w:t>
      </w:r>
      <w:r w:rsidRPr="002739DD">
        <w:rPr>
          <w:rFonts w:asciiTheme="minorHAnsi" w:hAnsiTheme="minorHAnsi"/>
          <w:color w:val="auto"/>
          <w:sz w:val="20"/>
        </w:rPr>
        <w:t xml:space="preserve">related. </w:t>
      </w:r>
    </w:p>
    <w:p w:rsidR="009C4846" w:rsidRPr="002739DD" w:rsidRDefault="009C4846" w:rsidP="009C4846">
      <w:pPr>
        <w:pStyle w:val="Default"/>
        <w:keepNext/>
        <w:rPr>
          <w:rFonts w:asciiTheme="minorHAnsi" w:hAnsiTheme="minorHAnsi"/>
          <w:color w:val="auto"/>
          <w:sz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28"/>
        <w:gridCol w:w="4500"/>
      </w:tblGrid>
      <w:tr w:rsidR="009C4846" w:rsidRPr="00A16463" w:rsidTr="002739DD">
        <w:tc>
          <w:tcPr>
            <w:tcW w:w="9828" w:type="dxa"/>
            <w:gridSpan w:val="2"/>
            <w:shd w:val="clear" w:color="auto" w:fill="D9D9D9" w:themeFill="background1" w:themeFillShade="D9"/>
          </w:tcPr>
          <w:p w:rsidR="009C4846" w:rsidRPr="00A16463" w:rsidRDefault="009C4846" w:rsidP="002739DD">
            <w:pPr>
              <w:pStyle w:val="Default"/>
              <w:keepNext/>
              <w:spacing w:before="40" w:after="40"/>
              <w:jc w:val="center"/>
              <w:rPr>
                <w:rFonts w:asciiTheme="minorHAnsi" w:hAnsiTheme="minorHAnsi"/>
                <w:b/>
                <w:caps/>
                <w:color w:val="auto"/>
                <w:spacing w:val="20"/>
                <w:sz w:val="22"/>
                <w:szCs w:val="22"/>
              </w:rPr>
            </w:pPr>
            <w:r>
              <w:rPr>
                <w:rFonts w:asciiTheme="minorHAnsi" w:hAnsiTheme="minorHAnsi"/>
                <w:b/>
                <w:caps/>
                <w:color w:val="auto"/>
                <w:spacing w:val="20"/>
                <w:sz w:val="22"/>
                <w:szCs w:val="22"/>
              </w:rPr>
              <w:t>fund source</w:t>
            </w:r>
            <w:r w:rsidRPr="00A16463">
              <w:rPr>
                <w:rFonts w:asciiTheme="minorHAnsi" w:hAnsiTheme="minorHAnsi"/>
                <w:b/>
                <w:caps/>
                <w:color w:val="auto"/>
                <w:spacing w:val="20"/>
                <w:sz w:val="22"/>
                <w:szCs w:val="22"/>
              </w:rPr>
              <w:t xml:space="preserve"> Summary </w:t>
            </w:r>
          </w:p>
        </w:tc>
      </w:tr>
      <w:tr w:rsidR="009C4846" w:rsidRPr="00A16463" w:rsidTr="002739DD">
        <w:tc>
          <w:tcPr>
            <w:tcW w:w="5328" w:type="dxa"/>
            <w:shd w:val="clear" w:color="auto" w:fill="auto"/>
          </w:tcPr>
          <w:p w:rsidR="009C4846" w:rsidRPr="00A16463" w:rsidRDefault="009C4846" w:rsidP="002739DD">
            <w:pPr>
              <w:pStyle w:val="Default"/>
              <w:keepNext/>
              <w:spacing w:before="40" w:after="40"/>
              <w:rPr>
                <w:rFonts w:asciiTheme="minorHAnsi" w:hAnsiTheme="minorHAnsi"/>
                <w:color w:val="auto"/>
                <w:sz w:val="22"/>
                <w:szCs w:val="22"/>
              </w:rPr>
            </w:pPr>
            <w:r>
              <w:rPr>
                <w:rFonts w:asciiTheme="minorHAnsi" w:hAnsiTheme="minorHAnsi"/>
                <w:color w:val="auto"/>
                <w:sz w:val="22"/>
                <w:szCs w:val="22"/>
              </w:rPr>
              <w:t>Fund Type</w:t>
            </w:r>
          </w:p>
        </w:tc>
        <w:tc>
          <w:tcPr>
            <w:tcW w:w="4500" w:type="dxa"/>
            <w:shd w:val="clear" w:color="auto" w:fill="auto"/>
          </w:tcPr>
          <w:p w:rsidR="009C4846" w:rsidRPr="00A16463" w:rsidRDefault="009C4846" w:rsidP="002739DD">
            <w:pPr>
              <w:pStyle w:val="Default"/>
              <w:keepNext/>
              <w:spacing w:before="40" w:after="40"/>
              <w:rPr>
                <w:rFonts w:asciiTheme="minorHAnsi" w:hAnsiTheme="minorHAnsi"/>
                <w:b/>
                <w:color w:val="auto"/>
                <w:sz w:val="22"/>
                <w:szCs w:val="22"/>
              </w:rPr>
            </w:pPr>
            <w:r w:rsidRPr="00A16463">
              <w:rPr>
                <w:rFonts w:asciiTheme="minorHAnsi" w:hAnsiTheme="minorHAnsi"/>
                <w:b/>
                <w:color w:val="auto"/>
                <w:sz w:val="22"/>
                <w:szCs w:val="22"/>
              </w:rPr>
              <w:t>$</w:t>
            </w:r>
          </w:p>
        </w:tc>
      </w:tr>
      <w:tr w:rsidR="009C4846" w:rsidRPr="00A16463" w:rsidTr="002739DD">
        <w:tc>
          <w:tcPr>
            <w:tcW w:w="5328" w:type="dxa"/>
            <w:shd w:val="clear" w:color="auto" w:fill="auto"/>
          </w:tcPr>
          <w:p w:rsidR="009C4846" w:rsidRPr="00A16463" w:rsidRDefault="009C4846" w:rsidP="002739DD">
            <w:pPr>
              <w:pStyle w:val="Default"/>
              <w:keepNext/>
              <w:spacing w:before="40" w:after="40"/>
              <w:rPr>
                <w:rFonts w:asciiTheme="minorHAnsi" w:hAnsiTheme="minorHAnsi"/>
                <w:color w:val="auto"/>
                <w:sz w:val="22"/>
                <w:szCs w:val="22"/>
              </w:rPr>
            </w:pPr>
            <w:r>
              <w:rPr>
                <w:rFonts w:asciiTheme="minorHAnsi" w:hAnsiTheme="minorHAnsi"/>
                <w:color w:val="auto"/>
                <w:sz w:val="22"/>
                <w:szCs w:val="22"/>
              </w:rPr>
              <w:t>Secondary Source of Repayment</w:t>
            </w:r>
          </w:p>
        </w:tc>
        <w:tc>
          <w:tcPr>
            <w:tcW w:w="4500" w:type="dxa"/>
            <w:shd w:val="clear" w:color="auto" w:fill="auto"/>
          </w:tcPr>
          <w:p w:rsidR="009C4846" w:rsidRPr="00A16463" w:rsidRDefault="009C4846" w:rsidP="002739DD">
            <w:pPr>
              <w:pStyle w:val="Default"/>
              <w:keepNext/>
              <w:spacing w:before="40" w:after="40"/>
              <w:rPr>
                <w:rFonts w:asciiTheme="minorHAnsi" w:hAnsiTheme="minorHAnsi"/>
                <w:b/>
                <w:color w:val="auto"/>
                <w:sz w:val="22"/>
                <w:szCs w:val="22"/>
              </w:rPr>
            </w:pPr>
            <w:r w:rsidRPr="00A16463">
              <w:rPr>
                <w:rFonts w:asciiTheme="minorHAnsi" w:hAnsiTheme="minorHAnsi"/>
                <w:b/>
                <w:color w:val="auto"/>
                <w:sz w:val="22"/>
                <w:szCs w:val="22"/>
              </w:rPr>
              <w:t>$</w:t>
            </w:r>
          </w:p>
        </w:tc>
      </w:tr>
      <w:tr w:rsidR="009C4846" w:rsidRPr="00A16463" w:rsidTr="002739DD">
        <w:tc>
          <w:tcPr>
            <w:tcW w:w="5328" w:type="dxa"/>
            <w:shd w:val="clear" w:color="auto" w:fill="auto"/>
          </w:tcPr>
          <w:p w:rsidR="009C4846" w:rsidRPr="00A16463" w:rsidRDefault="009C4846" w:rsidP="002739DD">
            <w:pPr>
              <w:pStyle w:val="Default"/>
              <w:keepNext/>
              <w:spacing w:before="40" w:after="40"/>
              <w:rPr>
                <w:rFonts w:asciiTheme="minorHAnsi" w:hAnsiTheme="minorHAnsi"/>
                <w:color w:val="auto"/>
                <w:sz w:val="22"/>
                <w:szCs w:val="22"/>
              </w:rPr>
            </w:pPr>
            <w:r>
              <w:rPr>
                <w:rFonts w:asciiTheme="minorHAnsi" w:hAnsiTheme="minorHAnsi"/>
                <w:color w:val="auto"/>
                <w:sz w:val="22"/>
                <w:szCs w:val="22"/>
              </w:rPr>
              <w:t>Term of Standby Request (# of years)</w:t>
            </w:r>
          </w:p>
        </w:tc>
        <w:tc>
          <w:tcPr>
            <w:tcW w:w="4500" w:type="dxa"/>
            <w:shd w:val="clear" w:color="auto" w:fill="auto"/>
          </w:tcPr>
          <w:p w:rsidR="009C4846" w:rsidRPr="00A16463" w:rsidRDefault="009C4846" w:rsidP="002739DD">
            <w:pPr>
              <w:pStyle w:val="Default"/>
              <w:keepNext/>
              <w:spacing w:before="40" w:after="40"/>
              <w:rPr>
                <w:rFonts w:asciiTheme="minorHAnsi" w:hAnsiTheme="minorHAnsi"/>
                <w:b/>
                <w:color w:val="auto"/>
                <w:sz w:val="22"/>
                <w:szCs w:val="22"/>
              </w:rPr>
            </w:pPr>
          </w:p>
        </w:tc>
      </w:tr>
    </w:tbl>
    <w:p w:rsidR="009C4846" w:rsidRDefault="009C4846" w:rsidP="009C4846">
      <w:pPr>
        <w:pStyle w:val="Default"/>
        <w:keepNext/>
        <w:rPr>
          <w:rFonts w:asciiTheme="minorHAnsi" w:hAnsiTheme="minorHAnsi"/>
          <w:b/>
          <w:color w:val="auto"/>
          <w:sz w:val="22"/>
          <w:szCs w:val="22"/>
        </w:rPr>
      </w:pPr>
    </w:p>
    <w:p w:rsidR="009C4846" w:rsidRDefault="009C4846" w:rsidP="009C4846">
      <w:pPr>
        <w:pStyle w:val="Default"/>
        <w:keepNext/>
        <w:rPr>
          <w:rFonts w:asciiTheme="minorHAnsi" w:hAnsiTheme="minorHAnsi"/>
          <w:b/>
          <w:color w:val="auto"/>
          <w:sz w:val="22"/>
          <w:szCs w:val="22"/>
        </w:rPr>
      </w:pPr>
    </w:p>
    <w:p w:rsidR="00F5224B" w:rsidRDefault="00F5224B">
      <w:pPr>
        <w:spacing w:after="0" w:line="240" w:lineRule="auto"/>
        <w:rPr>
          <w:rFonts w:asciiTheme="minorHAnsi" w:eastAsia="Times New Roman" w:hAnsiTheme="minorHAnsi"/>
          <w:b/>
        </w:rPr>
      </w:pPr>
      <w:r>
        <w:rPr>
          <w:rFonts w:asciiTheme="minorHAnsi" w:eastAsia="Times New Roman" w:hAnsiTheme="minorHAnsi"/>
          <w:b/>
        </w:rPr>
        <w:br w:type="page"/>
      </w:r>
    </w:p>
    <w:p w:rsidR="009C4846" w:rsidRDefault="009C4846" w:rsidP="009C4846">
      <w:pPr>
        <w:pStyle w:val="Default"/>
        <w:keepNext/>
        <w:rPr>
          <w:rFonts w:asciiTheme="minorHAnsi" w:hAnsiTheme="minorHAnsi"/>
          <w:b/>
          <w:color w:val="auto"/>
          <w:sz w:val="22"/>
          <w:szCs w:val="22"/>
        </w:rPr>
      </w:pPr>
      <w:proofErr w:type="gramStart"/>
      <w:r w:rsidRPr="00A16463">
        <w:rPr>
          <w:rFonts w:asciiTheme="minorHAnsi" w:hAnsiTheme="minorHAnsi"/>
          <w:b/>
          <w:color w:val="auto"/>
          <w:sz w:val="22"/>
          <w:szCs w:val="22"/>
        </w:rPr>
        <w:lastRenderedPageBreak/>
        <w:t xml:space="preserve">SECTION </w:t>
      </w:r>
      <w:r w:rsidR="00F5224B">
        <w:rPr>
          <w:rFonts w:asciiTheme="minorHAnsi" w:hAnsiTheme="minorHAnsi"/>
          <w:b/>
          <w:color w:val="auto"/>
          <w:sz w:val="22"/>
          <w:szCs w:val="22"/>
        </w:rPr>
        <w:t>III.</w:t>
      </w:r>
      <w:proofErr w:type="gramEnd"/>
      <w:r w:rsidR="00F5224B">
        <w:rPr>
          <w:rFonts w:asciiTheme="minorHAnsi" w:hAnsiTheme="minorHAnsi"/>
          <w:b/>
          <w:color w:val="auto"/>
          <w:sz w:val="22"/>
          <w:szCs w:val="22"/>
        </w:rPr>
        <w:t xml:space="preserve">  Interim Financed Projects</w:t>
      </w:r>
    </w:p>
    <w:p w:rsidR="009C4846" w:rsidRPr="00A16463" w:rsidRDefault="00F5224B" w:rsidP="009C4846">
      <w:pPr>
        <w:pStyle w:val="Default"/>
        <w:keepNext/>
        <w:rPr>
          <w:rFonts w:asciiTheme="minorHAnsi" w:hAnsiTheme="minorHAnsi"/>
          <w:color w:val="auto"/>
          <w:sz w:val="20"/>
        </w:rPr>
      </w:pPr>
      <w:r>
        <w:rPr>
          <w:rFonts w:asciiTheme="minorHAnsi" w:hAnsiTheme="minorHAnsi"/>
          <w:color w:val="auto"/>
          <w:sz w:val="20"/>
        </w:rPr>
        <w:t xml:space="preserve">Interim financing is requested for gifts (or other specified funds) that have yet to be raised (not pledged and not in hand). </w:t>
      </w:r>
      <w:r w:rsidR="009C4846">
        <w:rPr>
          <w:rFonts w:asciiTheme="minorHAnsi" w:hAnsiTheme="minorHAnsi"/>
          <w:color w:val="auto"/>
          <w:sz w:val="20"/>
        </w:rPr>
        <w:t xml:space="preserve">Interim financing must demonstrate a back-up repayment source and be included in the campus’ Debt Affordability Model assuming either a conversion of interim financing to long-term external financing or as a 7-year interim financing with level amortization. </w:t>
      </w:r>
      <w:r w:rsidR="009C4846" w:rsidRPr="00A16463">
        <w:rPr>
          <w:rFonts w:asciiTheme="minorHAnsi" w:hAnsiTheme="minorHAnsi"/>
          <w:color w:val="auto"/>
          <w:sz w:val="20"/>
        </w:rPr>
        <w:t xml:space="preserve">At project completion, the campus will return for external financing approval if </w:t>
      </w:r>
      <w:r w:rsidR="009C4846">
        <w:rPr>
          <w:rFonts w:asciiTheme="minorHAnsi" w:hAnsiTheme="minorHAnsi"/>
          <w:color w:val="auto"/>
          <w:sz w:val="20"/>
        </w:rPr>
        <w:t xml:space="preserve">the anticipated gift/other fund source </w:t>
      </w:r>
      <w:proofErr w:type="gramStart"/>
      <w:r w:rsidR="009C4846">
        <w:rPr>
          <w:rFonts w:asciiTheme="minorHAnsi" w:hAnsiTheme="minorHAnsi"/>
          <w:color w:val="auto"/>
          <w:sz w:val="20"/>
        </w:rPr>
        <w:t>falls</w:t>
      </w:r>
      <w:proofErr w:type="gramEnd"/>
      <w:r w:rsidR="009C4846">
        <w:rPr>
          <w:rFonts w:asciiTheme="minorHAnsi" w:hAnsiTheme="minorHAnsi"/>
          <w:color w:val="auto"/>
          <w:sz w:val="20"/>
        </w:rPr>
        <w:t xml:space="preserve"> short.</w:t>
      </w:r>
      <w:r>
        <w:rPr>
          <w:rFonts w:asciiTheme="minorHAnsi" w:hAnsiTheme="minorHAnsi"/>
          <w:color w:val="auto"/>
          <w:sz w:val="20"/>
        </w:rPr>
        <w:t xml:space="preserve"> To the extent additional gifts are received as cash, the amount of interim financing will be reduced. To the extent additional gifts are received as documented pledges, the amount of interim financing will be converted to standby financing. </w:t>
      </w:r>
    </w:p>
    <w:p w:rsidR="009C4846" w:rsidRPr="00A16463" w:rsidRDefault="009C4846" w:rsidP="009C4846">
      <w:pPr>
        <w:pStyle w:val="Default"/>
        <w:rPr>
          <w:rFonts w:asciiTheme="minorHAnsi" w:hAnsiTheme="minorHAnsi"/>
          <w:b/>
          <w:color w:val="auto"/>
          <w:sz w:val="22"/>
          <w:szCs w:val="22"/>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28"/>
        <w:gridCol w:w="4518"/>
      </w:tblGrid>
      <w:tr w:rsidR="009C4846" w:rsidRPr="004506A4" w:rsidTr="002739DD">
        <w:tc>
          <w:tcPr>
            <w:tcW w:w="9846" w:type="dxa"/>
            <w:gridSpan w:val="2"/>
            <w:shd w:val="clear" w:color="auto" w:fill="D9D9D9" w:themeFill="background1" w:themeFillShade="D9"/>
          </w:tcPr>
          <w:p w:rsidR="009C4846" w:rsidRPr="004506A4" w:rsidRDefault="009C4846" w:rsidP="002739DD">
            <w:pPr>
              <w:pStyle w:val="Default"/>
              <w:keepNext/>
              <w:spacing w:before="40"/>
              <w:jc w:val="center"/>
              <w:rPr>
                <w:rFonts w:asciiTheme="minorHAnsi" w:hAnsiTheme="minorHAnsi"/>
                <w:b/>
                <w:caps/>
                <w:color w:val="auto"/>
                <w:spacing w:val="20"/>
                <w:sz w:val="22"/>
                <w:szCs w:val="22"/>
              </w:rPr>
            </w:pPr>
            <w:r w:rsidRPr="004506A4">
              <w:rPr>
                <w:rFonts w:asciiTheme="minorHAnsi" w:hAnsiTheme="minorHAnsi"/>
                <w:b/>
                <w:caps/>
                <w:color w:val="auto"/>
                <w:spacing w:val="20"/>
                <w:sz w:val="22"/>
                <w:szCs w:val="22"/>
              </w:rPr>
              <w:t>Financing Assumptions for</w:t>
            </w:r>
          </w:p>
          <w:p w:rsidR="009C4846" w:rsidRPr="004506A4" w:rsidRDefault="009C4846" w:rsidP="002739DD">
            <w:pPr>
              <w:pStyle w:val="Default"/>
              <w:keepNext/>
              <w:spacing w:after="40"/>
              <w:jc w:val="center"/>
              <w:rPr>
                <w:rFonts w:asciiTheme="minorHAnsi" w:hAnsiTheme="minorHAnsi"/>
                <w:b/>
                <w:color w:val="auto"/>
                <w:sz w:val="22"/>
                <w:szCs w:val="22"/>
              </w:rPr>
            </w:pPr>
            <w:r w:rsidRPr="004506A4">
              <w:rPr>
                <w:rFonts w:asciiTheme="minorHAnsi" w:hAnsiTheme="minorHAnsi"/>
                <w:b/>
                <w:caps/>
                <w:color w:val="auto"/>
                <w:spacing w:val="20"/>
                <w:sz w:val="22"/>
                <w:szCs w:val="22"/>
              </w:rPr>
              <w:t xml:space="preserve"> Conversion of Interim Financing to Long-term External Financing</w:t>
            </w:r>
          </w:p>
        </w:tc>
      </w:tr>
      <w:tr w:rsidR="009C4846" w:rsidRPr="004506A4" w:rsidTr="009C4846">
        <w:tc>
          <w:tcPr>
            <w:tcW w:w="5328" w:type="dxa"/>
            <w:shd w:val="clear" w:color="auto" w:fill="auto"/>
          </w:tcPr>
          <w:p w:rsidR="009C4846" w:rsidRPr="004506A4" w:rsidRDefault="009C4846" w:rsidP="002739DD">
            <w:pPr>
              <w:pStyle w:val="Default"/>
              <w:keepNext/>
              <w:spacing w:before="40" w:after="40"/>
              <w:rPr>
                <w:rFonts w:asciiTheme="minorHAnsi" w:hAnsiTheme="minorHAnsi"/>
                <w:color w:val="auto"/>
                <w:sz w:val="22"/>
                <w:szCs w:val="22"/>
              </w:rPr>
            </w:pPr>
            <w:r>
              <w:rPr>
                <w:rFonts w:asciiTheme="minorHAnsi" w:hAnsiTheme="minorHAnsi"/>
                <w:color w:val="auto"/>
                <w:sz w:val="22"/>
                <w:szCs w:val="22"/>
              </w:rPr>
              <w:t>Interim Financing Amount</w:t>
            </w:r>
          </w:p>
        </w:tc>
        <w:tc>
          <w:tcPr>
            <w:tcW w:w="4518" w:type="dxa"/>
            <w:shd w:val="clear" w:color="auto" w:fill="auto"/>
          </w:tcPr>
          <w:p w:rsidR="009C4846" w:rsidRPr="009C4846" w:rsidRDefault="009C4846" w:rsidP="002739DD">
            <w:pPr>
              <w:pStyle w:val="Default"/>
              <w:keepNext/>
              <w:spacing w:before="40" w:after="40"/>
              <w:rPr>
                <w:rFonts w:asciiTheme="minorHAnsi" w:hAnsiTheme="minorHAnsi"/>
                <w:color w:val="auto"/>
                <w:sz w:val="22"/>
                <w:szCs w:val="22"/>
              </w:rPr>
            </w:pPr>
            <w:r w:rsidRPr="009C4846">
              <w:rPr>
                <w:rFonts w:asciiTheme="minorHAnsi" w:hAnsiTheme="minorHAnsi"/>
                <w:color w:val="auto"/>
                <w:sz w:val="22"/>
                <w:szCs w:val="22"/>
              </w:rPr>
              <w:t>$</w:t>
            </w:r>
          </w:p>
        </w:tc>
      </w:tr>
      <w:tr w:rsidR="009C4846" w:rsidRPr="004506A4" w:rsidTr="009C4846">
        <w:tc>
          <w:tcPr>
            <w:tcW w:w="5328" w:type="dxa"/>
            <w:shd w:val="clear" w:color="auto" w:fill="auto"/>
          </w:tcPr>
          <w:p w:rsidR="009C4846" w:rsidRPr="004506A4" w:rsidRDefault="009C4846" w:rsidP="002739DD">
            <w:pPr>
              <w:pStyle w:val="Default"/>
              <w:keepNext/>
              <w:spacing w:before="40" w:after="40"/>
              <w:rPr>
                <w:rFonts w:asciiTheme="minorHAnsi" w:hAnsiTheme="minorHAnsi"/>
                <w:color w:val="auto"/>
                <w:sz w:val="22"/>
                <w:szCs w:val="22"/>
              </w:rPr>
            </w:pPr>
            <w:r w:rsidRPr="004506A4">
              <w:rPr>
                <w:rFonts w:asciiTheme="minorHAnsi" w:hAnsiTheme="minorHAnsi"/>
                <w:color w:val="auto"/>
                <w:sz w:val="22"/>
                <w:szCs w:val="22"/>
              </w:rPr>
              <w:t>Anticipated Repayment Source</w:t>
            </w:r>
          </w:p>
        </w:tc>
        <w:tc>
          <w:tcPr>
            <w:tcW w:w="4518" w:type="dxa"/>
            <w:shd w:val="clear" w:color="auto" w:fill="auto"/>
          </w:tcPr>
          <w:p w:rsidR="009C4846" w:rsidRPr="009C4846" w:rsidRDefault="009C4846" w:rsidP="002739DD">
            <w:pPr>
              <w:pStyle w:val="Default"/>
              <w:keepNext/>
              <w:spacing w:before="40" w:after="40"/>
              <w:rPr>
                <w:rFonts w:asciiTheme="minorHAnsi" w:hAnsiTheme="minorHAnsi"/>
                <w:color w:val="auto"/>
                <w:sz w:val="22"/>
                <w:szCs w:val="22"/>
              </w:rPr>
            </w:pPr>
            <w:r w:rsidRPr="009C4846">
              <w:rPr>
                <w:rFonts w:asciiTheme="minorHAnsi" w:hAnsiTheme="minorHAnsi"/>
                <w:color w:val="auto"/>
                <w:sz w:val="22"/>
                <w:szCs w:val="22"/>
              </w:rPr>
              <w:t>General Revenues of the [     ] campus</w:t>
            </w:r>
          </w:p>
        </w:tc>
      </w:tr>
      <w:tr w:rsidR="009C4846" w:rsidRPr="004506A4" w:rsidTr="009C4846">
        <w:tc>
          <w:tcPr>
            <w:tcW w:w="5328" w:type="dxa"/>
            <w:shd w:val="clear" w:color="auto" w:fill="auto"/>
          </w:tcPr>
          <w:p w:rsidR="009C4846" w:rsidRPr="004506A4" w:rsidRDefault="009C4846" w:rsidP="002739DD">
            <w:pPr>
              <w:pStyle w:val="Default"/>
              <w:keepNext/>
              <w:spacing w:before="40" w:after="40"/>
              <w:rPr>
                <w:rFonts w:asciiTheme="minorHAnsi" w:hAnsiTheme="minorHAnsi"/>
                <w:color w:val="auto"/>
                <w:sz w:val="22"/>
                <w:szCs w:val="22"/>
              </w:rPr>
            </w:pPr>
            <w:r w:rsidRPr="004506A4">
              <w:rPr>
                <w:rFonts w:asciiTheme="minorHAnsi" w:hAnsiTheme="minorHAnsi"/>
                <w:color w:val="auto"/>
                <w:sz w:val="22"/>
                <w:szCs w:val="22"/>
              </w:rPr>
              <w:t>Anticipated Fund Source</w:t>
            </w:r>
          </w:p>
        </w:tc>
        <w:tc>
          <w:tcPr>
            <w:tcW w:w="4518" w:type="dxa"/>
            <w:shd w:val="clear" w:color="auto" w:fill="auto"/>
          </w:tcPr>
          <w:p w:rsidR="009C4846" w:rsidRPr="009C4846" w:rsidRDefault="009C4846" w:rsidP="002739DD">
            <w:pPr>
              <w:pStyle w:val="Default"/>
              <w:keepNext/>
              <w:spacing w:before="40" w:after="40"/>
              <w:rPr>
                <w:rFonts w:asciiTheme="minorHAnsi" w:hAnsiTheme="minorHAnsi"/>
                <w:color w:val="auto"/>
                <w:sz w:val="22"/>
                <w:szCs w:val="22"/>
              </w:rPr>
            </w:pPr>
          </w:p>
        </w:tc>
      </w:tr>
      <w:tr w:rsidR="009C4846" w:rsidRPr="004506A4" w:rsidTr="009C4846">
        <w:tc>
          <w:tcPr>
            <w:tcW w:w="5328" w:type="dxa"/>
            <w:shd w:val="clear" w:color="auto" w:fill="auto"/>
          </w:tcPr>
          <w:p w:rsidR="009C4846" w:rsidRPr="004506A4" w:rsidRDefault="009C4846" w:rsidP="002739DD">
            <w:pPr>
              <w:pStyle w:val="Default"/>
              <w:keepNext/>
              <w:spacing w:before="40" w:after="40"/>
              <w:rPr>
                <w:rFonts w:asciiTheme="minorHAnsi" w:hAnsiTheme="minorHAnsi"/>
                <w:color w:val="auto"/>
                <w:sz w:val="22"/>
                <w:szCs w:val="22"/>
              </w:rPr>
            </w:pPr>
            <w:r w:rsidRPr="004506A4">
              <w:rPr>
                <w:rFonts w:asciiTheme="minorHAnsi" w:hAnsiTheme="minorHAnsi"/>
                <w:color w:val="auto"/>
                <w:sz w:val="22"/>
                <w:szCs w:val="22"/>
              </w:rPr>
              <w:t>Financial Feasibility Rate</w:t>
            </w:r>
          </w:p>
        </w:tc>
        <w:tc>
          <w:tcPr>
            <w:tcW w:w="4518" w:type="dxa"/>
            <w:shd w:val="clear" w:color="auto" w:fill="auto"/>
          </w:tcPr>
          <w:p w:rsidR="009C4846" w:rsidRPr="009C4846" w:rsidRDefault="009C4846" w:rsidP="002739DD">
            <w:pPr>
              <w:pStyle w:val="Default"/>
              <w:keepNext/>
              <w:spacing w:before="40" w:after="40"/>
              <w:rPr>
                <w:rFonts w:asciiTheme="minorHAnsi" w:hAnsiTheme="minorHAnsi"/>
                <w:color w:val="auto"/>
                <w:sz w:val="22"/>
                <w:szCs w:val="22"/>
              </w:rPr>
            </w:pPr>
            <w:r w:rsidRPr="009C4846">
              <w:rPr>
                <w:rFonts w:asciiTheme="minorHAnsi" w:hAnsiTheme="minorHAnsi"/>
                <w:color w:val="auto"/>
                <w:sz w:val="22"/>
                <w:szCs w:val="22"/>
              </w:rPr>
              <w:t>%</w:t>
            </w:r>
          </w:p>
        </w:tc>
      </w:tr>
      <w:tr w:rsidR="009C4846" w:rsidRPr="004506A4" w:rsidTr="009C4846">
        <w:tc>
          <w:tcPr>
            <w:tcW w:w="5328" w:type="dxa"/>
            <w:shd w:val="clear" w:color="auto" w:fill="auto"/>
          </w:tcPr>
          <w:p w:rsidR="009C4846" w:rsidRPr="004506A4" w:rsidRDefault="009C4846" w:rsidP="009C4846">
            <w:pPr>
              <w:pStyle w:val="Default"/>
              <w:keepNext/>
              <w:spacing w:before="40" w:after="40"/>
              <w:rPr>
                <w:rFonts w:asciiTheme="minorHAnsi" w:hAnsiTheme="minorHAnsi"/>
                <w:color w:val="auto"/>
                <w:sz w:val="22"/>
                <w:szCs w:val="22"/>
              </w:rPr>
            </w:pPr>
            <w:r w:rsidRPr="004506A4">
              <w:rPr>
                <w:rFonts w:asciiTheme="minorHAnsi" w:hAnsiTheme="minorHAnsi"/>
                <w:color w:val="auto"/>
                <w:sz w:val="22"/>
                <w:szCs w:val="22"/>
              </w:rPr>
              <w:t xml:space="preserve">First Year of </w:t>
            </w:r>
            <w:r>
              <w:rPr>
                <w:rFonts w:asciiTheme="minorHAnsi" w:hAnsiTheme="minorHAnsi"/>
                <w:color w:val="auto"/>
                <w:sz w:val="22"/>
                <w:szCs w:val="22"/>
              </w:rPr>
              <w:t>Repayment</w:t>
            </w:r>
            <w:r w:rsidRPr="004506A4">
              <w:rPr>
                <w:rFonts w:asciiTheme="minorHAnsi" w:hAnsiTheme="minorHAnsi"/>
                <w:color w:val="auto"/>
                <w:sz w:val="22"/>
                <w:szCs w:val="22"/>
              </w:rPr>
              <w:t xml:space="preserve"> </w:t>
            </w:r>
            <w:r>
              <w:rPr>
                <w:rFonts w:asciiTheme="minorHAnsi" w:hAnsiTheme="minorHAnsi"/>
                <w:color w:val="auto"/>
                <w:sz w:val="22"/>
                <w:szCs w:val="22"/>
              </w:rPr>
              <w:t>(e.g. FY 20XX)</w:t>
            </w:r>
          </w:p>
        </w:tc>
        <w:tc>
          <w:tcPr>
            <w:tcW w:w="4518" w:type="dxa"/>
            <w:shd w:val="clear" w:color="auto" w:fill="auto"/>
          </w:tcPr>
          <w:p w:rsidR="009C4846" w:rsidRPr="009C4846" w:rsidRDefault="009C4846" w:rsidP="002739DD">
            <w:pPr>
              <w:pStyle w:val="Default"/>
              <w:keepNext/>
              <w:spacing w:before="40" w:after="40"/>
              <w:rPr>
                <w:rFonts w:asciiTheme="minorHAnsi" w:hAnsiTheme="minorHAnsi"/>
                <w:color w:val="auto"/>
                <w:sz w:val="22"/>
                <w:szCs w:val="22"/>
              </w:rPr>
            </w:pPr>
            <w:r w:rsidRPr="009C4846">
              <w:rPr>
                <w:rFonts w:asciiTheme="minorHAnsi" w:hAnsiTheme="minorHAnsi"/>
                <w:color w:val="auto"/>
                <w:sz w:val="22"/>
                <w:szCs w:val="22"/>
              </w:rPr>
              <w:t>20XX</w:t>
            </w:r>
          </w:p>
        </w:tc>
      </w:tr>
      <w:tr w:rsidR="009C4846" w:rsidRPr="004506A4" w:rsidTr="009C4846">
        <w:tc>
          <w:tcPr>
            <w:tcW w:w="5328" w:type="dxa"/>
            <w:shd w:val="clear" w:color="auto" w:fill="auto"/>
          </w:tcPr>
          <w:p w:rsidR="009C4846" w:rsidRPr="004506A4" w:rsidRDefault="009C4846" w:rsidP="002739DD">
            <w:pPr>
              <w:pStyle w:val="Default"/>
              <w:keepNext/>
              <w:spacing w:before="40" w:after="40"/>
              <w:rPr>
                <w:rFonts w:asciiTheme="minorHAnsi" w:hAnsiTheme="minorHAnsi"/>
                <w:color w:val="auto"/>
                <w:sz w:val="22"/>
                <w:szCs w:val="22"/>
              </w:rPr>
            </w:pPr>
            <w:r w:rsidRPr="004506A4">
              <w:rPr>
                <w:rFonts w:asciiTheme="minorHAnsi" w:hAnsiTheme="minorHAnsi"/>
                <w:color w:val="auto"/>
                <w:sz w:val="22"/>
                <w:szCs w:val="22"/>
              </w:rPr>
              <w:t>Term (e.g. 30 years</w:t>
            </w:r>
            <w:r>
              <w:rPr>
                <w:rFonts w:asciiTheme="minorHAnsi" w:hAnsiTheme="minorHAnsi"/>
                <w:color w:val="auto"/>
                <w:sz w:val="22"/>
                <w:szCs w:val="22"/>
              </w:rPr>
              <w:t>; indicate if any years interest only</w:t>
            </w:r>
            <w:r w:rsidRPr="004506A4">
              <w:rPr>
                <w:rFonts w:asciiTheme="minorHAnsi" w:hAnsiTheme="minorHAnsi"/>
                <w:color w:val="auto"/>
                <w:sz w:val="22"/>
                <w:szCs w:val="22"/>
              </w:rPr>
              <w:t>)</w:t>
            </w:r>
          </w:p>
        </w:tc>
        <w:tc>
          <w:tcPr>
            <w:tcW w:w="4518" w:type="dxa"/>
            <w:shd w:val="clear" w:color="auto" w:fill="auto"/>
          </w:tcPr>
          <w:p w:rsidR="009C4846" w:rsidRPr="009C4846" w:rsidRDefault="009C4846" w:rsidP="002739DD">
            <w:pPr>
              <w:pStyle w:val="Default"/>
              <w:keepNext/>
              <w:spacing w:before="40" w:after="40"/>
              <w:rPr>
                <w:rFonts w:asciiTheme="minorHAnsi" w:hAnsiTheme="minorHAnsi"/>
                <w:color w:val="auto"/>
                <w:sz w:val="22"/>
                <w:szCs w:val="22"/>
              </w:rPr>
            </w:pPr>
            <w:r w:rsidRPr="009C4846">
              <w:rPr>
                <w:rFonts w:asciiTheme="minorHAnsi" w:hAnsiTheme="minorHAnsi"/>
                <w:color w:val="auto"/>
                <w:sz w:val="22"/>
                <w:szCs w:val="22"/>
              </w:rPr>
              <w:t>XX years</w:t>
            </w:r>
          </w:p>
        </w:tc>
      </w:tr>
      <w:tr w:rsidR="009C4846" w:rsidRPr="004506A4" w:rsidTr="009C4846">
        <w:tc>
          <w:tcPr>
            <w:tcW w:w="5328" w:type="dxa"/>
            <w:shd w:val="clear" w:color="auto" w:fill="auto"/>
          </w:tcPr>
          <w:p w:rsidR="009C4846" w:rsidRPr="004506A4" w:rsidRDefault="009C4846" w:rsidP="002739DD">
            <w:pPr>
              <w:pStyle w:val="Default"/>
              <w:keepNext/>
              <w:spacing w:before="40" w:after="40"/>
              <w:rPr>
                <w:rFonts w:asciiTheme="minorHAnsi" w:hAnsiTheme="minorHAnsi"/>
                <w:color w:val="auto"/>
                <w:sz w:val="22"/>
                <w:szCs w:val="22"/>
              </w:rPr>
            </w:pPr>
            <w:r w:rsidRPr="004506A4">
              <w:rPr>
                <w:rFonts w:asciiTheme="minorHAnsi" w:hAnsiTheme="minorHAnsi"/>
                <w:color w:val="auto"/>
                <w:sz w:val="22"/>
                <w:szCs w:val="22"/>
              </w:rPr>
              <w:t xml:space="preserve"> Final Maturity (e.g. </w:t>
            </w:r>
            <w:r>
              <w:rPr>
                <w:rFonts w:asciiTheme="minorHAnsi" w:hAnsiTheme="minorHAnsi"/>
                <w:color w:val="auto"/>
                <w:sz w:val="22"/>
                <w:szCs w:val="22"/>
              </w:rPr>
              <w:t xml:space="preserve">FY </w:t>
            </w:r>
            <w:r w:rsidRPr="004506A4">
              <w:rPr>
                <w:rFonts w:asciiTheme="minorHAnsi" w:hAnsiTheme="minorHAnsi"/>
                <w:color w:val="auto"/>
                <w:sz w:val="22"/>
                <w:szCs w:val="22"/>
              </w:rPr>
              <w:t>20xx)</w:t>
            </w:r>
          </w:p>
        </w:tc>
        <w:tc>
          <w:tcPr>
            <w:tcW w:w="4518" w:type="dxa"/>
            <w:shd w:val="clear" w:color="auto" w:fill="auto"/>
          </w:tcPr>
          <w:p w:rsidR="009C4846" w:rsidRPr="009C4846" w:rsidRDefault="009C4846" w:rsidP="002739DD">
            <w:pPr>
              <w:pStyle w:val="Default"/>
              <w:keepNext/>
              <w:spacing w:before="40" w:after="40"/>
              <w:rPr>
                <w:rFonts w:asciiTheme="minorHAnsi" w:hAnsiTheme="minorHAnsi"/>
                <w:color w:val="auto"/>
                <w:sz w:val="22"/>
                <w:szCs w:val="22"/>
              </w:rPr>
            </w:pPr>
            <w:r w:rsidRPr="009C4846">
              <w:rPr>
                <w:rFonts w:asciiTheme="minorHAnsi" w:hAnsiTheme="minorHAnsi"/>
                <w:color w:val="auto"/>
                <w:sz w:val="22"/>
                <w:szCs w:val="22"/>
              </w:rPr>
              <w:t>20XX</w:t>
            </w:r>
          </w:p>
        </w:tc>
      </w:tr>
      <w:tr w:rsidR="009C4846" w:rsidRPr="00A16463" w:rsidTr="009C4846">
        <w:tc>
          <w:tcPr>
            <w:tcW w:w="5328" w:type="dxa"/>
            <w:shd w:val="clear" w:color="auto" w:fill="auto"/>
          </w:tcPr>
          <w:p w:rsidR="009C4846" w:rsidRPr="004506A4" w:rsidRDefault="009C4846" w:rsidP="002739DD">
            <w:pPr>
              <w:pStyle w:val="Default"/>
              <w:keepNext/>
              <w:spacing w:before="40" w:after="40"/>
              <w:rPr>
                <w:rFonts w:asciiTheme="minorHAnsi" w:hAnsiTheme="minorHAnsi"/>
                <w:color w:val="auto"/>
                <w:sz w:val="22"/>
                <w:szCs w:val="22"/>
              </w:rPr>
            </w:pPr>
            <w:r w:rsidRPr="004506A4">
              <w:rPr>
                <w:rFonts w:asciiTheme="minorHAnsi" w:hAnsiTheme="minorHAnsi"/>
                <w:color w:val="auto"/>
                <w:sz w:val="22"/>
                <w:szCs w:val="22"/>
              </w:rPr>
              <w:t>Estimated Average Annual Debt Service</w:t>
            </w:r>
          </w:p>
        </w:tc>
        <w:tc>
          <w:tcPr>
            <w:tcW w:w="4518" w:type="dxa"/>
            <w:shd w:val="clear" w:color="auto" w:fill="auto"/>
          </w:tcPr>
          <w:p w:rsidR="009C4846" w:rsidRPr="009C4846" w:rsidRDefault="009C4846" w:rsidP="002739DD">
            <w:pPr>
              <w:pStyle w:val="Default"/>
              <w:keepNext/>
              <w:spacing w:before="40" w:after="40"/>
              <w:rPr>
                <w:rFonts w:asciiTheme="minorHAnsi" w:hAnsiTheme="minorHAnsi"/>
                <w:color w:val="auto"/>
                <w:sz w:val="22"/>
                <w:szCs w:val="22"/>
              </w:rPr>
            </w:pPr>
            <w:r w:rsidRPr="009C4846">
              <w:rPr>
                <w:rFonts w:asciiTheme="minorHAnsi" w:hAnsiTheme="minorHAnsi"/>
                <w:color w:val="auto"/>
                <w:sz w:val="22"/>
                <w:szCs w:val="22"/>
              </w:rPr>
              <w:t>$</w:t>
            </w:r>
          </w:p>
        </w:tc>
      </w:tr>
    </w:tbl>
    <w:p w:rsidR="009C4846" w:rsidRPr="00A16463" w:rsidRDefault="009C4846" w:rsidP="009C4846">
      <w:pPr>
        <w:spacing w:after="0"/>
        <w:rPr>
          <w:sz w:val="20"/>
        </w:rPr>
      </w:pPr>
    </w:p>
    <w:p w:rsidR="00F5224B" w:rsidRPr="00F804E8" w:rsidRDefault="00F5224B" w:rsidP="00F5224B">
      <w:pPr>
        <w:pStyle w:val="Default"/>
        <w:rPr>
          <w:rFonts w:asciiTheme="minorHAnsi" w:hAnsiTheme="minorHAnsi"/>
          <w:color w:val="auto"/>
          <w:sz w:val="22"/>
          <w:szCs w:val="22"/>
        </w:rPr>
      </w:pPr>
      <w:r w:rsidRPr="00F804E8">
        <w:rPr>
          <w:rFonts w:asciiTheme="minorHAnsi" w:hAnsiTheme="minorHAnsi"/>
          <w:color w:val="auto"/>
          <w:sz w:val="22"/>
          <w:szCs w:val="22"/>
        </w:rPr>
        <w:t xml:space="preserve">Below are results of the financial feasibility analysis for the proposed project using the campus’ Debt Affordability </w:t>
      </w:r>
      <w:proofErr w:type="gramStart"/>
      <w:r w:rsidRPr="00F804E8">
        <w:rPr>
          <w:rFonts w:asciiTheme="minorHAnsi" w:hAnsiTheme="minorHAnsi"/>
          <w:color w:val="auto"/>
          <w:sz w:val="22"/>
          <w:szCs w:val="22"/>
        </w:rPr>
        <w:t>Model.</w:t>
      </w:r>
      <w:proofErr w:type="gramEnd"/>
      <w:r w:rsidRPr="00F804E8">
        <w:rPr>
          <w:rFonts w:asciiTheme="minorHAnsi" w:hAnsiTheme="minorHAnsi"/>
          <w:color w:val="auto"/>
          <w:sz w:val="22"/>
          <w:szCs w:val="22"/>
        </w:rPr>
        <w:t xml:space="preserve"> The model includes projections of the campus’ operations and planned financings. A new Debt Affordability Model with revised metrics was implemented August 1, 2015.  </w:t>
      </w:r>
    </w:p>
    <w:p w:rsidR="00F5224B" w:rsidRPr="00A16463" w:rsidRDefault="00F5224B" w:rsidP="00F5224B">
      <w:pPr>
        <w:pStyle w:val="Default"/>
        <w:rPr>
          <w:rFonts w:asciiTheme="minorHAnsi" w:hAnsiTheme="minorHAnsi"/>
          <w:color w:val="auto"/>
          <w:sz w:val="20"/>
        </w:rPr>
      </w:pPr>
    </w:p>
    <w:tbl>
      <w:tblPr>
        <w:tblStyle w:val="TableGrid"/>
        <w:tblW w:w="0" w:type="auto"/>
        <w:tblLook w:val="04A0" w:firstRow="1" w:lastRow="0" w:firstColumn="1" w:lastColumn="0" w:noHBand="0" w:noVBand="1"/>
      </w:tblPr>
      <w:tblGrid>
        <w:gridCol w:w="2879"/>
        <w:gridCol w:w="2439"/>
        <w:gridCol w:w="2440"/>
        <w:gridCol w:w="2538"/>
      </w:tblGrid>
      <w:tr w:rsidR="00F5224B" w:rsidRPr="004506A4" w:rsidTr="002739DD">
        <w:tc>
          <w:tcPr>
            <w:tcW w:w="2879" w:type="dxa"/>
            <w:tcBorders>
              <w:top w:val="nil"/>
              <w:left w:val="nil"/>
              <w:bottom w:val="single" w:sz="4" w:space="0" w:color="auto"/>
            </w:tcBorders>
            <w:shd w:val="clear" w:color="auto" w:fill="auto"/>
          </w:tcPr>
          <w:p w:rsidR="00F5224B" w:rsidRPr="00A16463" w:rsidRDefault="00F5224B" w:rsidP="002739DD">
            <w:pPr>
              <w:pStyle w:val="Default"/>
              <w:keepNext/>
              <w:jc w:val="center"/>
              <w:rPr>
                <w:rFonts w:asciiTheme="minorHAnsi" w:hAnsiTheme="minorHAnsi"/>
                <w:b/>
                <w:color w:val="auto"/>
                <w:sz w:val="22"/>
                <w:szCs w:val="22"/>
              </w:rPr>
            </w:pPr>
          </w:p>
        </w:tc>
        <w:tc>
          <w:tcPr>
            <w:tcW w:w="7417" w:type="dxa"/>
            <w:gridSpan w:val="3"/>
            <w:shd w:val="clear" w:color="auto" w:fill="D9D9D9" w:themeFill="background1" w:themeFillShade="D9"/>
          </w:tcPr>
          <w:p w:rsidR="00F5224B" w:rsidRPr="004506A4" w:rsidRDefault="00F5224B" w:rsidP="002739DD">
            <w:pPr>
              <w:pStyle w:val="Default"/>
              <w:keepNext/>
              <w:jc w:val="center"/>
              <w:rPr>
                <w:rFonts w:asciiTheme="minorHAnsi" w:hAnsiTheme="minorHAnsi"/>
                <w:b/>
                <w:caps/>
                <w:color w:val="auto"/>
                <w:spacing w:val="20"/>
                <w:sz w:val="22"/>
                <w:szCs w:val="22"/>
              </w:rPr>
            </w:pPr>
            <w:r w:rsidRPr="004506A4">
              <w:rPr>
                <w:rFonts w:asciiTheme="minorHAnsi" w:hAnsiTheme="minorHAnsi"/>
                <w:b/>
                <w:caps/>
                <w:color w:val="auto"/>
                <w:spacing w:val="20"/>
                <w:sz w:val="22"/>
                <w:szCs w:val="22"/>
              </w:rPr>
              <w:t>Campus Financing Benchmarks</w:t>
            </w:r>
          </w:p>
        </w:tc>
      </w:tr>
      <w:tr w:rsidR="00F5224B" w:rsidRPr="004506A4" w:rsidTr="002739DD">
        <w:tc>
          <w:tcPr>
            <w:tcW w:w="2879" w:type="dxa"/>
            <w:tcBorders>
              <w:top w:val="single" w:sz="4" w:space="0" w:color="auto"/>
              <w:left w:val="single" w:sz="4" w:space="0" w:color="auto"/>
              <w:bottom w:val="single" w:sz="4" w:space="0" w:color="auto"/>
            </w:tcBorders>
            <w:shd w:val="clear" w:color="auto" w:fill="D9D9D9" w:themeFill="background1" w:themeFillShade="D9"/>
          </w:tcPr>
          <w:p w:rsidR="00F5224B" w:rsidRPr="004506A4" w:rsidRDefault="00F5224B" w:rsidP="002739DD">
            <w:pPr>
              <w:pStyle w:val="Default"/>
              <w:keepNext/>
              <w:rPr>
                <w:rFonts w:asciiTheme="minorHAnsi" w:hAnsiTheme="minorHAnsi"/>
                <w:b/>
                <w:color w:val="auto"/>
                <w:sz w:val="22"/>
                <w:szCs w:val="22"/>
              </w:rPr>
            </w:pPr>
            <w:r w:rsidRPr="004506A4">
              <w:rPr>
                <w:rFonts w:asciiTheme="minorHAnsi" w:hAnsiTheme="minorHAnsi"/>
                <w:b/>
                <w:color w:val="auto"/>
                <w:sz w:val="22"/>
                <w:szCs w:val="22"/>
              </w:rPr>
              <w:t>Measure</w:t>
            </w:r>
          </w:p>
        </w:tc>
        <w:tc>
          <w:tcPr>
            <w:tcW w:w="2439" w:type="dxa"/>
            <w:tcBorders>
              <w:bottom w:val="single" w:sz="4" w:space="0" w:color="auto"/>
            </w:tcBorders>
            <w:shd w:val="clear" w:color="auto" w:fill="D9D9D9" w:themeFill="background1" w:themeFillShade="D9"/>
          </w:tcPr>
          <w:p w:rsidR="00F5224B" w:rsidRPr="004506A4" w:rsidRDefault="00F5224B" w:rsidP="002739DD">
            <w:pPr>
              <w:pStyle w:val="Default"/>
              <w:keepNext/>
              <w:jc w:val="center"/>
              <w:rPr>
                <w:rFonts w:asciiTheme="minorHAnsi" w:hAnsiTheme="minorHAnsi"/>
                <w:b/>
                <w:color w:val="auto"/>
                <w:sz w:val="22"/>
                <w:szCs w:val="22"/>
              </w:rPr>
            </w:pPr>
            <w:r w:rsidRPr="004506A4">
              <w:rPr>
                <w:rFonts w:asciiTheme="minorHAnsi" w:hAnsiTheme="minorHAnsi"/>
                <w:b/>
                <w:color w:val="auto"/>
                <w:sz w:val="22"/>
                <w:szCs w:val="22"/>
              </w:rPr>
              <w:t xml:space="preserve">10 Year Projections </w:t>
            </w:r>
          </w:p>
        </w:tc>
        <w:tc>
          <w:tcPr>
            <w:tcW w:w="2440" w:type="dxa"/>
            <w:tcBorders>
              <w:bottom w:val="single" w:sz="4" w:space="0" w:color="auto"/>
            </w:tcBorders>
            <w:shd w:val="clear" w:color="auto" w:fill="D9D9D9" w:themeFill="background1" w:themeFillShade="D9"/>
          </w:tcPr>
          <w:p w:rsidR="00F5224B" w:rsidRPr="004506A4" w:rsidRDefault="00F5224B" w:rsidP="002739DD">
            <w:pPr>
              <w:pStyle w:val="Default"/>
              <w:keepNext/>
              <w:jc w:val="center"/>
              <w:rPr>
                <w:rFonts w:asciiTheme="minorHAnsi" w:hAnsiTheme="minorHAnsi"/>
                <w:b/>
                <w:color w:val="auto"/>
                <w:sz w:val="22"/>
                <w:szCs w:val="22"/>
              </w:rPr>
            </w:pPr>
            <w:r w:rsidRPr="004506A4">
              <w:rPr>
                <w:rFonts w:asciiTheme="minorHAnsi" w:hAnsiTheme="minorHAnsi"/>
                <w:b/>
                <w:color w:val="auto"/>
                <w:sz w:val="22"/>
                <w:szCs w:val="22"/>
              </w:rPr>
              <w:t>Approval Threshold</w:t>
            </w:r>
          </w:p>
        </w:tc>
        <w:tc>
          <w:tcPr>
            <w:tcW w:w="2538" w:type="dxa"/>
            <w:tcBorders>
              <w:bottom w:val="single" w:sz="4" w:space="0" w:color="auto"/>
            </w:tcBorders>
            <w:shd w:val="clear" w:color="auto" w:fill="D9D9D9" w:themeFill="background1" w:themeFillShade="D9"/>
          </w:tcPr>
          <w:p w:rsidR="00F5224B" w:rsidRPr="004506A4" w:rsidRDefault="00F5224B" w:rsidP="002739DD">
            <w:pPr>
              <w:pStyle w:val="Default"/>
              <w:keepNext/>
              <w:jc w:val="center"/>
              <w:rPr>
                <w:rFonts w:asciiTheme="minorHAnsi" w:hAnsiTheme="minorHAnsi"/>
                <w:b/>
                <w:color w:val="auto"/>
                <w:sz w:val="22"/>
                <w:szCs w:val="22"/>
              </w:rPr>
            </w:pPr>
            <w:r>
              <w:rPr>
                <w:rFonts w:asciiTheme="minorHAnsi" w:hAnsiTheme="minorHAnsi"/>
                <w:b/>
                <w:color w:val="auto"/>
                <w:sz w:val="22"/>
                <w:szCs w:val="22"/>
              </w:rPr>
              <w:t>Requirement</w:t>
            </w:r>
          </w:p>
        </w:tc>
      </w:tr>
      <w:tr w:rsidR="00F5224B" w:rsidRPr="004506A4" w:rsidTr="002739DD">
        <w:trPr>
          <w:trHeight w:val="576"/>
        </w:trPr>
        <w:tc>
          <w:tcPr>
            <w:tcW w:w="2879" w:type="dxa"/>
            <w:shd w:val="clear" w:color="auto" w:fill="auto"/>
            <w:vAlign w:val="center"/>
          </w:tcPr>
          <w:p w:rsidR="00F5224B" w:rsidRPr="001F49B2" w:rsidRDefault="00F5224B" w:rsidP="002739DD">
            <w:pPr>
              <w:pStyle w:val="Default"/>
              <w:keepNext/>
              <w:rPr>
                <w:rFonts w:asciiTheme="minorHAnsi" w:hAnsiTheme="minorHAnsi"/>
                <w:color w:val="auto"/>
                <w:sz w:val="22"/>
                <w:szCs w:val="22"/>
              </w:rPr>
            </w:pPr>
            <w:r w:rsidRPr="001F49B2">
              <w:rPr>
                <w:rFonts w:asciiTheme="minorHAnsi" w:hAnsiTheme="minorHAnsi"/>
                <w:color w:val="auto"/>
                <w:sz w:val="22"/>
                <w:szCs w:val="22"/>
              </w:rPr>
              <w:t>Modified Cash Flow Margin</w:t>
            </w:r>
            <w:r>
              <w:rPr>
                <w:rStyle w:val="FootnoteReference"/>
                <w:rFonts w:asciiTheme="minorHAnsi" w:hAnsiTheme="minorHAnsi"/>
                <w:color w:val="auto"/>
                <w:sz w:val="22"/>
                <w:szCs w:val="22"/>
              </w:rPr>
              <w:footnoteReference w:id="6"/>
            </w:r>
          </w:p>
        </w:tc>
        <w:tc>
          <w:tcPr>
            <w:tcW w:w="2439" w:type="dxa"/>
            <w:shd w:val="clear" w:color="auto" w:fill="auto"/>
            <w:vAlign w:val="center"/>
          </w:tcPr>
          <w:p w:rsidR="00F5224B" w:rsidRPr="001F49B2" w:rsidRDefault="00F5224B" w:rsidP="002739DD">
            <w:pPr>
              <w:pStyle w:val="Default"/>
              <w:keepNext/>
              <w:jc w:val="center"/>
              <w:rPr>
                <w:rFonts w:asciiTheme="minorHAnsi" w:hAnsiTheme="minorHAnsi"/>
                <w:color w:val="auto"/>
                <w:sz w:val="22"/>
                <w:szCs w:val="22"/>
              </w:rPr>
            </w:pPr>
            <w:r w:rsidRPr="001F49B2">
              <w:rPr>
                <w:rFonts w:asciiTheme="minorHAnsi" w:hAnsiTheme="minorHAnsi"/>
                <w:color w:val="auto"/>
                <w:sz w:val="22"/>
                <w:szCs w:val="22"/>
              </w:rPr>
              <w:t>% (min)</w:t>
            </w:r>
            <w:r>
              <w:rPr>
                <w:rFonts w:asciiTheme="minorHAnsi" w:hAnsiTheme="minorHAnsi"/>
                <w:color w:val="auto"/>
                <w:sz w:val="22"/>
                <w:szCs w:val="22"/>
              </w:rPr>
              <w:t>,</w:t>
            </w:r>
            <w:r w:rsidRPr="001F49B2">
              <w:rPr>
                <w:rFonts w:asciiTheme="minorHAnsi" w:hAnsiTheme="minorHAnsi"/>
                <w:color w:val="auto"/>
                <w:sz w:val="22"/>
                <w:szCs w:val="22"/>
              </w:rPr>
              <w:t xml:space="preserve"> 20xx (</w:t>
            </w:r>
            <w:proofErr w:type="spellStart"/>
            <w:r w:rsidRPr="001F49B2">
              <w:rPr>
                <w:rFonts w:asciiTheme="minorHAnsi" w:hAnsiTheme="minorHAnsi"/>
                <w:color w:val="auto"/>
                <w:sz w:val="22"/>
                <w:szCs w:val="22"/>
              </w:rPr>
              <w:t>yr</w:t>
            </w:r>
            <w:proofErr w:type="spellEnd"/>
            <w:r w:rsidRPr="001F49B2">
              <w:rPr>
                <w:rFonts w:asciiTheme="minorHAnsi" w:hAnsiTheme="minorHAnsi"/>
                <w:color w:val="auto"/>
                <w:sz w:val="22"/>
                <w:szCs w:val="22"/>
              </w:rPr>
              <w:t>)</w:t>
            </w:r>
          </w:p>
        </w:tc>
        <w:tc>
          <w:tcPr>
            <w:tcW w:w="2440" w:type="dxa"/>
            <w:shd w:val="clear" w:color="auto" w:fill="auto"/>
            <w:vAlign w:val="center"/>
          </w:tcPr>
          <w:p w:rsidR="00F5224B" w:rsidRPr="001F49B2" w:rsidRDefault="00F5224B" w:rsidP="002739DD">
            <w:pPr>
              <w:pStyle w:val="Default"/>
              <w:keepNext/>
              <w:jc w:val="center"/>
              <w:rPr>
                <w:rFonts w:asciiTheme="minorHAnsi" w:hAnsiTheme="minorHAnsi"/>
                <w:color w:val="auto"/>
                <w:sz w:val="22"/>
                <w:szCs w:val="22"/>
              </w:rPr>
            </w:pPr>
            <w:r w:rsidRPr="001F49B2">
              <w:rPr>
                <w:rFonts w:asciiTheme="minorHAnsi" w:hAnsiTheme="minorHAnsi" w:cstheme="minorHAnsi"/>
                <w:color w:val="auto"/>
                <w:sz w:val="22"/>
                <w:szCs w:val="22"/>
              </w:rPr>
              <w:t>≥</w:t>
            </w:r>
            <w:r w:rsidRPr="001F49B2">
              <w:rPr>
                <w:rFonts w:asciiTheme="minorHAnsi" w:hAnsiTheme="minorHAnsi"/>
                <w:color w:val="auto"/>
                <w:sz w:val="22"/>
                <w:szCs w:val="22"/>
              </w:rPr>
              <w:t xml:space="preserve"> 0.0%</w:t>
            </w:r>
          </w:p>
        </w:tc>
        <w:tc>
          <w:tcPr>
            <w:tcW w:w="2538" w:type="dxa"/>
            <w:vAlign w:val="center"/>
          </w:tcPr>
          <w:p w:rsidR="00F5224B" w:rsidRPr="001F49B2" w:rsidRDefault="00F5224B" w:rsidP="002739DD">
            <w:pPr>
              <w:pStyle w:val="Default"/>
              <w:keepNext/>
              <w:jc w:val="center"/>
              <w:rPr>
                <w:rFonts w:asciiTheme="minorHAnsi" w:hAnsiTheme="minorHAnsi" w:cstheme="minorHAnsi"/>
                <w:color w:val="auto"/>
                <w:sz w:val="22"/>
                <w:szCs w:val="22"/>
              </w:rPr>
            </w:pPr>
            <w:r w:rsidRPr="001F49B2">
              <w:rPr>
                <w:rFonts w:asciiTheme="minorHAnsi" w:hAnsiTheme="minorHAnsi" w:cstheme="minorHAnsi"/>
                <w:color w:val="auto"/>
                <w:sz w:val="22"/>
                <w:szCs w:val="22"/>
              </w:rPr>
              <w:t>Must Meet</w:t>
            </w:r>
          </w:p>
        </w:tc>
      </w:tr>
      <w:tr w:rsidR="00F5224B" w:rsidRPr="004506A4" w:rsidTr="002739DD">
        <w:trPr>
          <w:trHeight w:val="576"/>
        </w:trPr>
        <w:tc>
          <w:tcPr>
            <w:tcW w:w="2879" w:type="dxa"/>
            <w:tcBorders>
              <w:bottom w:val="single" w:sz="4" w:space="0" w:color="auto"/>
            </w:tcBorders>
            <w:shd w:val="clear" w:color="auto" w:fill="auto"/>
            <w:vAlign w:val="center"/>
          </w:tcPr>
          <w:p w:rsidR="00F5224B" w:rsidRPr="001F49B2" w:rsidRDefault="00F5224B" w:rsidP="00F5224B">
            <w:pPr>
              <w:pStyle w:val="Default"/>
              <w:keepNext/>
              <w:rPr>
                <w:rFonts w:asciiTheme="minorHAnsi" w:hAnsiTheme="minorHAnsi"/>
                <w:color w:val="auto"/>
                <w:sz w:val="22"/>
                <w:szCs w:val="22"/>
              </w:rPr>
            </w:pPr>
            <w:r w:rsidRPr="001F49B2">
              <w:rPr>
                <w:rFonts w:asciiTheme="minorHAnsi" w:hAnsiTheme="minorHAnsi"/>
                <w:color w:val="auto"/>
                <w:sz w:val="22"/>
                <w:szCs w:val="22"/>
              </w:rPr>
              <w:t>Debt Service to Operations</w:t>
            </w:r>
            <w:r>
              <w:rPr>
                <w:rFonts w:asciiTheme="minorHAnsi" w:hAnsiTheme="minorHAnsi"/>
                <w:color w:val="auto"/>
                <w:sz w:val="22"/>
                <w:szCs w:val="22"/>
                <w:vertAlign w:val="superscript"/>
              </w:rPr>
              <w:t>5</w:t>
            </w:r>
          </w:p>
        </w:tc>
        <w:tc>
          <w:tcPr>
            <w:tcW w:w="2439" w:type="dxa"/>
            <w:tcBorders>
              <w:bottom w:val="single" w:sz="4" w:space="0" w:color="auto"/>
            </w:tcBorders>
            <w:shd w:val="clear" w:color="auto" w:fill="auto"/>
            <w:vAlign w:val="center"/>
          </w:tcPr>
          <w:p w:rsidR="00F5224B" w:rsidRPr="001F49B2" w:rsidRDefault="00F5224B" w:rsidP="002739DD">
            <w:pPr>
              <w:pStyle w:val="Default"/>
              <w:keepNext/>
              <w:jc w:val="center"/>
              <w:rPr>
                <w:rFonts w:asciiTheme="minorHAnsi" w:hAnsiTheme="minorHAnsi"/>
                <w:color w:val="auto"/>
                <w:sz w:val="22"/>
                <w:szCs w:val="22"/>
              </w:rPr>
            </w:pPr>
            <w:r>
              <w:rPr>
                <w:rFonts w:asciiTheme="minorHAnsi" w:hAnsiTheme="minorHAnsi"/>
                <w:color w:val="auto"/>
                <w:sz w:val="22"/>
                <w:szCs w:val="22"/>
              </w:rPr>
              <w:t>%</w:t>
            </w:r>
            <w:r w:rsidRPr="001F49B2">
              <w:rPr>
                <w:rFonts w:asciiTheme="minorHAnsi" w:hAnsiTheme="minorHAnsi"/>
                <w:color w:val="auto"/>
                <w:sz w:val="22"/>
                <w:szCs w:val="22"/>
              </w:rPr>
              <w:t xml:space="preserve"> (max)</w:t>
            </w:r>
            <w:r>
              <w:rPr>
                <w:rFonts w:asciiTheme="minorHAnsi" w:hAnsiTheme="minorHAnsi"/>
                <w:color w:val="auto"/>
                <w:sz w:val="22"/>
                <w:szCs w:val="22"/>
              </w:rPr>
              <w:t>,</w:t>
            </w:r>
            <w:r w:rsidRPr="001F49B2">
              <w:rPr>
                <w:rFonts w:asciiTheme="minorHAnsi" w:hAnsiTheme="minorHAnsi"/>
                <w:color w:val="auto"/>
                <w:sz w:val="22"/>
                <w:szCs w:val="22"/>
              </w:rPr>
              <w:t xml:space="preserve"> 20xx (</w:t>
            </w:r>
            <w:proofErr w:type="spellStart"/>
            <w:r w:rsidRPr="001F49B2">
              <w:rPr>
                <w:rFonts w:asciiTheme="minorHAnsi" w:hAnsiTheme="minorHAnsi"/>
                <w:color w:val="auto"/>
                <w:sz w:val="22"/>
                <w:szCs w:val="22"/>
              </w:rPr>
              <w:t>yr</w:t>
            </w:r>
            <w:proofErr w:type="spellEnd"/>
            <w:r w:rsidRPr="001F49B2">
              <w:rPr>
                <w:rFonts w:asciiTheme="minorHAnsi" w:hAnsiTheme="minorHAnsi"/>
                <w:color w:val="auto"/>
                <w:sz w:val="22"/>
                <w:szCs w:val="22"/>
              </w:rPr>
              <w:t>)</w:t>
            </w:r>
          </w:p>
        </w:tc>
        <w:tc>
          <w:tcPr>
            <w:tcW w:w="2440" w:type="dxa"/>
            <w:tcBorders>
              <w:bottom w:val="single" w:sz="4" w:space="0" w:color="auto"/>
            </w:tcBorders>
            <w:shd w:val="clear" w:color="auto" w:fill="auto"/>
            <w:vAlign w:val="center"/>
          </w:tcPr>
          <w:p w:rsidR="00F5224B" w:rsidRPr="001F49B2" w:rsidRDefault="00F5224B" w:rsidP="002739DD">
            <w:pPr>
              <w:pStyle w:val="Default"/>
              <w:keepNext/>
              <w:jc w:val="center"/>
              <w:rPr>
                <w:rFonts w:asciiTheme="minorHAnsi" w:hAnsiTheme="minorHAnsi"/>
                <w:color w:val="auto"/>
                <w:sz w:val="22"/>
                <w:szCs w:val="22"/>
              </w:rPr>
            </w:pPr>
            <w:r w:rsidRPr="001F49B2">
              <w:rPr>
                <w:rFonts w:asciiTheme="minorHAnsi" w:hAnsiTheme="minorHAnsi" w:cstheme="minorHAnsi"/>
                <w:color w:val="auto"/>
                <w:sz w:val="22"/>
                <w:szCs w:val="22"/>
              </w:rPr>
              <w:t>≤</w:t>
            </w:r>
            <w:r w:rsidRPr="001F49B2">
              <w:rPr>
                <w:rFonts w:asciiTheme="minorHAnsi" w:hAnsiTheme="minorHAnsi"/>
                <w:color w:val="auto"/>
                <w:sz w:val="22"/>
                <w:szCs w:val="22"/>
              </w:rPr>
              <w:t xml:space="preserve"> 6.0%</w:t>
            </w:r>
          </w:p>
        </w:tc>
        <w:tc>
          <w:tcPr>
            <w:tcW w:w="2538" w:type="dxa"/>
            <w:vMerge w:val="restart"/>
            <w:vAlign w:val="center"/>
          </w:tcPr>
          <w:p w:rsidR="00F5224B" w:rsidRPr="001F49B2" w:rsidRDefault="00F5224B" w:rsidP="002739DD">
            <w:pPr>
              <w:pStyle w:val="Default"/>
              <w:keepNext/>
              <w:jc w:val="center"/>
              <w:rPr>
                <w:rFonts w:asciiTheme="minorHAnsi" w:hAnsiTheme="minorHAnsi" w:cstheme="minorHAnsi"/>
                <w:color w:val="auto"/>
                <w:sz w:val="22"/>
                <w:szCs w:val="22"/>
              </w:rPr>
            </w:pPr>
            <w:r w:rsidRPr="001F49B2">
              <w:rPr>
                <w:rFonts w:asciiTheme="minorHAnsi" w:hAnsiTheme="minorHAnsi" w:cstheme="minorHAnsi"/>
                <w:color w:val="auto"/>
                <w:sz w:val="22"/>
                <w:szCs w:val="22"/>
              </w:rPr>
              <w:t>Must Meet 1 of 2</w:t>
            </w:r>
          </w:p>
        </w:tc>
      </w:tr>
      <w:tr w:rsidR="00F5224B" w:rsidRPr="00A16463" w:rsidTr="002739DD">
        <w:trPr>
          <w:trHeight w:val="576"/>
        </w:trPr>
        <w:tc>
          <w:tcPr>
            <w:tcW w:w="2879" w:type="dxa"/>
            <w:shd w:val="clear" w:color="auto" w:fill="auto"/>
            <w:vAlign w:val="center"/>
          </w:tcPr>
          <w:p w:rsidR="00F5224B" w:rsidRPr="001F49B2" w:rsidRDefault="00F5224B" w:rsidP="00F5224B">
            <w:pPr>
              <w:pStyle w:val="Default"/>
              <w:keepNext/>
              <w:rPr>
                <w:rFonts w:asciiTheme="minorHAnsi" w:hAnsiTheme="minorHAnsi"/>
                <w:color w:val="auto"/>
                <w:sz w:val="22"/>
                <w:szCs w:val="22"/>
              </w:rPr>
            </w:pPr>
            <w:r w:rsidRPr="001F49B2">
              <w:rPr>
                <w:rFonts w:asciiTheme="minorHAnsi" w:hAnsiTheme="minorHAnsi"/>
                <w:color w:val="auto"/>
                <w:sz w:val="22"/>
                <w:szCs w:val="22"/>
              </w:rPr>
              <w:t>Expendable Resources to Debt</w:t>
            </w:r>
            <w:r>
              <w:rPr>
                <w:rFonts w:asciiTheme="minorHAnsi" w:hAnsiTheme="minorHAnsi"/>
                <w:color w:val="auto"/>
                <w:sz w:val="22"/>
                <w:szCs w:val="22"/>
                <w:vertAlign w:val="superscript"/>
              </w:rPr>
              <w:t>5</w:t>
            </w:r>
          </w:p>
        </w:tc>
        <w:tc>
          <w:tcPr>
            <w:tcW w:w="2439" w:type="dxa"/>
            <w:shd w:val="clear" w:color="auto" w:fill="auto"/>
            <w:vAlign w:val="center"/>
          </w:tcPr>
          <w:p w:rsidR="00F5224B" w:rsidRPr="001F49B2" w:rsidRDefault="00F5224B" w:rsidP="002739DD">
            <w:pPr>
              <w:pStyle w:val="Default"/>
              <w:keepNext/>
              <w:jc w:val="center"/>
              <w:rPr>
                <w:rFonts w:asciiTheme="minorHAnsi" w:hAnsiTheme="minorHAnsi"/>
                <w:color w:val="auto"/>
                <w:sz w:val="22"/>
                <w:szCs w:val="22"/>
              </w:rPr>
            </w:pPr>
            <w:r>
              <w:rPr>
                <w:rFonts w:asciiTheme="minorHAnsi" w:hAnsiTheme="minorHAnsi"/>
                <w:color w:val="auto"/>
                <w:sz w:val="22"/>
                <w:szCs w:val="22"/>
              </w:rPr>
              <w:t>x,</w:t>
            </w:r>
            <w:r w:rsidRPr="001F49B2">
              <w:rPr>
                <w:rFonts w:asciiTheme="minorHAnsi" w:hAnsiTheme="minorHAnsi"/>
                <w:color w:val="auto"/>
                <w:sz w:val="22"/>
                <w:szCs w:val="22"/>
              </w:rPr>
              <w:t xml:space="preserve"> 20xx (</w:t>
            </w:r>
            <w:proofErr w:type="spellStart"/>
            <w:r w:rsidRPr="001F49B2">
              <w:rPr>
                <w:rFonts w:asciiTheme="minorHAnsi" w:hAnsiTheme="minorHAnsi"/>
                <w:color w:val="auto"/>
                <w:sz w:val="22"/>
                <w:szCs w:val="22"/>
              </w:rPr>
              <w:t>yr</w:t>
            </w:r>
            <w:proofErr w:type="spellEnd"/>
            <w:r w:rsidRPr="001F49B2">
              <w:rPr>
                <w:rFonts w:asciiTheme="minorHAnsi" w:hAnsiTheme="minorHAnsi"/>
                <w:color w:val="auto"/>
                <w:sz w:val="22"/>
                <w:szCs w:val="22"/>
              </w:rPr>
              <w:t>)</w:t>
            </w:r>
          </w:p>
        </w:tc>
        <w:tc>
          <w:tcPr>
            <w:tcW w:w="2440" w:type="dxa"/>
            <w:shd w:val="clear" w:color="auto" w:fill="auto"/>
            <w:vAlign w:val="center"/>
          </w:tcPr>
          <w:p w:rsidR="00F5224B" w:rsidRPr="001F49B2" w:rsidRDefault="00F5224B" w:rsidP="002739DD">
            <w:pPr>
              <w:pStyle w:val="Default"/>
              <w:keepNext/>
              <w:jc w:val="center"/>
              <w:rPr>
                <w:rFonts w:asciiTheme="minorHAnsi" w:hAnsiTheme="minorHAnsi"/>
                <w:color w:val="auto"/>
                <w:sz w:val="22"/>
                <w:szCs w:val="22"/>
              </w:rPr>
            </w:pPr>
            <w:r w:rsidRPr="001F49B2">
              <w:rPr>
                <w:rFonts w:asciiTheme="minorHAnsi" w:hAnsiTheme="minorHAnsi" w:cstheme="minorHAnsi"/>
                <w:color w:val="auto"/>
                <w:sz w:val="22"/>
                <w:szCs w:val="22"/>
              </w:rPr>
              <w:t>≥</w:t>
            </w:r>
            <w:r w:rsidRPr="001F49B2">
              <w:rPr>
                <w:rFonts w:asciiTheme="minorHAnsi" w:hAnsiTheme="minorHAnsi"/>
                <w:color w:val="auto"/>
                <w:sz w:val="22"/>
                <w:szCs w:val="22"/>
              </w:rPr>
              <w:t xml:space="preserve"> 1.00x</w:t>
            </w:r>
          </w:p>
        </w:tc>
        <w:tc>
          <w:tcPr>
            <w:tcW w:w="2538" w:type="dxa"/>
            <w:vMerge/>
            <w:vAlign w:val="center"/>
          </w:tcPr>
          <w:p w:rsidR="00F5224B" w:rsidRPr="001F49B2" w:rsidRDefault="00F5224B" w:rsidP="002739DD">
            <w:pPr>
              <w:pStyle w:val="Default"/>
              <w:keepNext/>
              <w:jc w:val="center"/>
              <w:rPr>
                <w:rFonts w:asciiTheme="minorHAnsi" w:hAnsiTheme="minorHAnsi" w:cstheme="minorHAnsi"/>
                <w:color w:val="auto"/>
                <w:sz w:val="22"/>
                <w:szCs w:val="22"/>
              </w:rPr>
            </w:pPr>
          </w:p>
        </w:tc>
      </w:tr>
      <w:tr w:rsidR="00F5224B" w:rsidRPr="00A16463" w:rsidTr="002739DD">
        <w:trPr>
          <w:trHeight w:val="720"/>
        </w:trPr>
        <w:tc>
          <w:tcPr>
            <w:tcW w:w="2879" w:type="dxa"/>
            <w:shd w:val="clear" w:color="auto" w:fill="auto"/>
            <w:vAlign w:val="center"/>
          </w:tcPr>
          <w:p w:rsidR="00F5224B" w:rsidRPr="001F49B2" w:rsidRDefault="00F5224B" w:rsidP="002739DD">
            <w:pPr>
              <w:pStyle w:val="Default"/>
              <w:keepNext/>
              <w:rPr>
                <w:rFonts w:asciiTheme="minorHAnsi" w:hAnsiTheme="minorHAnsi"/>
                <w:color w:val="auto"/>
                <w:sz w:val="22"/>
                <w:szCs w:val="22"/>
              </w:rPr>
            </w:pPr>
            <w:r w:rsidRPr="001F49B2">
              <w:rPr>
                <w:rFonts w:asciiTheme="minorHAnsi" w:hAnsiTheme="minorHAnsi"/>
                <w:color w:val="auto"/>
                <w:sz w:val="22"/>
                <w:szCs w:val="22"/>
              </w:rPr>
              <w:t>Auxiliary Project Debt Service Coverage</w:t>
            </w:r>
            <w:r>
              <w:rPr>
                <w:rStyle w:val="FootnoteReference"/>
                <w:rFonts w:asciiTheme="minorHAnsi" w:hAnsiTheme="minorHAnsi"/>
                <w:color w:val="auto"/>
                <w:sz w:val="22"/>
                <w:szCs w:val="22"/>
              </w:rPr>
              <w:footnoteReference w:id="7"/>
            </w:r>
          </w:p>
        </w:tc>
        <w:tc>
          <w:tcPr>
            <w:tcW w:w="2439" w:type="dxa"/>
            <w:shd w:val="clear" w:color="auto" w:fill="auto"/>
            <w:vAlign w:val="center"/>
          </w:tcPr>
          <w:p w:rsidR="00F5224B" w:rsidRPr="001F49B2" w:rsidRDefault="00F5224B" w:rsidP="002739DD">
            <w:pPr>
              <w:pStyle w:val="Default"/>
              <w:keepNext/>
              <w:jc w:val="center"/>
              <w:rPr>
                <w:rFonts w:asciiTheme="minorHAnsi" w:hAnsiTheme="minorHAnsi"/>
                <w:color w:val="auto"/>
                <w:sz w:val="22"/>
                <w:szCs w:val="22"/>
              </w:rPr>
            </w:pPr>
            <w:r w:rsidRPr="001F49B2">
              <w:rPr>
                <w:rFonts w:asciiTheme="minorHAnsi" w:hAnsiTheme="minorHAnsi"/>
                <w:color w:val="auto"/>
                <w:sz w:val="22"/>
                <w:szCs w:val="22"/>
              </w:rPr>
              <w:t>x (min)</w:t>
            </w:r>
            <w:r>
              <w:rPr>
                <w:rFonts w:asciiTheme="minorHAnsi" w:hAnsiTheme="minorHAnsi"/>
                <w:color w:val="auto"/>
                <w:sz w:val="22"/>
                <w:szCs w:val="22"/>
              </w:rPr>
              <w:t>,</w:t>
            </w:r>
            <w:r w:rsidRPr="001F49B2">
              <w:rPr>
                <w:rFonts w:asciiTheme="minorHAnsi" w:hAnsiTheme="minorHAnsi"/>
                <w:color w:val="auto"/>
                <w:sz w:val="22"/>
                <w:szCs w:val="22"/>
              </w:rPr>
              <w:t xml:space="preserve"> 20xx (</w:t>
            </w:r>
            <w:proofErr w:type="spellStart"/>
            <w:r w:rsidRPr="001F49B2">
              <w:rPr>
                <w:rFonts w:asciiTheme="minorHAnsi" w:hAnsiTheme="minorHAnsi"/>
                <w:color w:val="auto"/>
                <w:sz w:val="22"/>
                <w:szCs w:val="22"/>
              </w:rPr>
              <w:t>yr</w:t>
            </w:r>
            <w:proofErr w:type="spellEnd"/>
            <w:r w:rsidRPr="001F49B2">
              <w:rPr>
                <w:rFonts w:asciiTheme="minorHAnsi" w:hAnsiTheme="minorHAnsi"/>
                <w:color w:val="auto"/>
                <w:sz w:val="22"/>
                <w:szCs w:val="22"/>
              </w:rPr>
              <w:t>)</w:t>
            </w:r>
          </w:p>
        </w:tc>
        <w:tc>
          <w:tcPr>
            <w:tcW w:w="2440" w:type="dxa"/>
            <w:shd w:val="clear" w:color="auto" w:fill="auto"/>
            <w:vAlign w:val="center"/>
          </w:tcPr>
          <w:p w:rsidR="00F5224B" w:rsidRPr="001F49B2" w:rsidRDefault="00F5224B" w:rsidP="002739DD">
            <w:pPr>
              <w:pStyle w:val="Default"/>
              <w:keepNext/>
              <w:jc w:val="center"/>
              <w:rPr>
                <w:rFonts w:asciiTheme="minorHAnsi" w:hAnsiTheme="minorHAnsi"/>
                <w:color w:val="auto"/>
                <w:sz w:val="22"/>
                <w:szCs w:val="22"/>
              </w:rPr>
            </w:pPr>
            <w:r w:rsidRPr="001F49B2">
              <w:rPr>
                <w:rFonts w:asciiTheme="minorHAnsi" w:hAnsiTheme="minorHAnsi" w:cstheme="minorHAnsi"/>
                <w:color w:val="auto"/>
                <w:sz w:val="22"/>
                <w:szCs w:val="22"/>
              </w:rPr>
              <w:t>≥</w:t>
            </w:r>
            <w:r w:rsidRPr="001F49B2">
              <w:rPr>
                <w:rFonts w:asciiTheme="minorHAnsi" w:hAnsiTheme="minorHAnsi"/>
                <w:color w:val="auto"/>
                <w:sz w:val="22"/>
                <w:szCs w:val="22"/>
              </w:rPr>
              <w:t xml:space="preserve"> 1.10x</w:t>
            </w:r>
          </w:p>
        </w:tc>
        <w:tc>
          <w:tcPr>
            <w:tcW w:w="2538" w:type="dxa"/>
            <w:vAlign w:val="center"/>
          </w:tcPr>
          <w:p w:rsidR="00F5224B" w:rsidRPr="001F49B2" w:rsidRDefault="00F5224B" w:rsidP="002739DD">
            <w:pPr>
              <w:pStyle w:val="Default"/>
              <w:keepNext/>
              <w:jc w:val="center"/>
              <w:rPr>
                <w:rFonts w:asciiTheme="minorHAnsi" w:hAnsiTheme="minorHAnsi"/>
                <w:color w:val="auto"/>
                <w:sz w:val="22"/>
                <w:szCs w:val="22"/>
              </w:rPr>
            </w:pPr>
            <w:r w:rsidRPr="001F49B2">
              <w:rPr>
                <w:rFonts w:asciiTheme="minorHAnsi" w:hAnsiTheme="minorHAnsi"/>
                <w:color w:val="auto"/>
                <w:sz w:val="22"/>
                <w:szCs w:val="22"/>
              </w:rPr>
              <w:t>Must Meet for Auxiliary Projects</w:t>
            </w:r>
          </w:p>
        </w:tc>
      </w:tr>
      <w:tr w:rsidR="00F5224B" w:rsidRPr="00A16463" w:rsidTr="002739DD">
        <w:trPr>
          <w:trHeight w:val="864"/>
        </w:trPr>
        <w:tc>
          <w:tcPr>
            <w:tcW w:w="2879" w:type="dxa"/>
            <w:shd w:val="clear" w:color="auto" w:fill="auto"/>
            <w:vAlign w:val="center"/>
          </w:tcPr>
          <w:p w:rsidR="00F5224B" w:rsidRPr="001F49B2" w:rsidRDefault="00F5224B" w:rsidP="002739DD">
            <w:pPr>
              <w:pStyle w:val="Default"/>
              <w:keepNext/>
              <w:rPr>
                <w:rFonts w:asciiTheme="minorHAnsi" w:hAnsiTheme="minorHAnsi"/>
                <w:color w:val="auto"/>
                <w:sz w:val="22"/>
                <w:szCs w:val="22"/>
              </w:rPr>
            </w:pPr>
            <w:r w:rsidRPr="001F49B2">
              <w:rPr>
                <w:rFonts w:asciiTheme="minorHAnsi" w:hAnsiTheme="minorHAnsi"/>
                <w:color w:val="auto"/>
                <w:sz w:val="22"/>
                <w:szCs w:val="22"/>
              </w:rPr>
              <w:t xml:space="preserve">Auxiliary </w:t>
            </w:r>
            <w:r>
              <w:rPr>
                <w:rFonts w:asciiTheme="minorHAnsi" w:hAnsiTheme="minorHAnsi"/>
                <w:color w:val="auto"/>
                <w:sz w:val="22"/>
                <w:szCs w:val="22"/>
              </w:rPr>
              <w:t xml:space="preserve">System </w:t>
            </w:r>
            <w:r w:rsidRPr="001F49B2">
              <w:rPr>
                <w:rFonts w:asciiTheme="minorHAnsi" w:hAnsiTheme="minorHAnsi"/>
                <w:color w:val="auto"/>
                <w:sz w:val="22"/>
                <w:szCs w:val="22"/>
              </w:rPr>
              <w:t>Debt Service Coverage</w:t>
            </w:r>
            <w:r>
              <w:rPr>
                <w:rStyle w:val="FootnoteReference"/>
                <w:rFonts w:asciiTheme="minorHAnsi" w:hAnsiTheme="minorHAnsi"/>
                <w:color w:val="auto"/>
                <w:sz w:val="22"/>
                <w:szCs w:val="22"/>
              </w:rPr>
              <w:footnoteReference w:id="8"/>
            </w:r>
          </w:p>
        </w:tc>
        <w:tc>
          <w:tcPr>
            <w:tcW w:w="2439" w:type="dxa"/>
            <w:shd w:val="clear" w:color="auto" w:fill="auto"/>
            <w:vAlign w:val="center"/>
          </w:tcPr>
          <w:p w:rsidR="00F5224B" w:rsidRPr="001F49B2" w:rsidRDefault="00F5224B" w:rsidP="002739DD">
            <w:pPr>
              <w:pStyle w:val="Default"/>
              <w:keepNext/>
              <w:jc w:val="center"/>
              <w:rPr>
                <w:rFonts w:asciiTheme="minorHAnsi" w:hAnsiTheme="minorHAnsi"/>
                <w:color w:val="auto"/>
                <w:sz w:val="22"/>
                <w:szCs w:val="22"/>
              </w:rPr>
            </w:pPr>
            <w:r w:rsidRPr="001F49B2">
              <w:rPr>
                <w:rFonts w:asciiTheme="minorHAnsi" w:hAnsiTheme="minorHAnsi"/>
                <w:color w:val="auto"/>
                <w:sz w:val="22"/>
                <w:szCs w:val="22"/>
              </w:rPr>
              <w:t>x (min)</w:t>
            </w:r>
            <w:r>
              <w:rPr>
                <w:rFonts w:asciiTheme="minorHAnsi" w:hAnsiTheme="minorHAnsi"/>
                <w:color w:val="auto"/>
                <w:sz w:val="22"/>
                <w:szCs w:val="22"/>
              </w:rPr>
              <w:t>,</w:t>
            </w:r>
            <w:r w:rsidRPr="001F49B2">
              <w:rPr>
                <w:rFonts w:asciiTheme="minorHAnsi" w:hAnsiTheme="minorHAnsi"/>
                <w:color w:val="auto"/>
                <w:sz w:val="22"/>
                <w:szCs w:val="22"/>
              </w:rPr>
              <w:t xml:space="preserve"> 20xx (</w:t>
            </w:r>
            <w:proofErr w:type="spellStart"/>
            <w:r w:rsidRPr="001F49B2">
              <w:rPr>
                <w:rFonts w:asciiTheme="minorHAnsi" w:hAnsiTheme="minorHAnsi"/>
                <w:color w:val="auto"/>
                <w:sz w:val="22"/>
                <w:szCs w:val="22"/>
              </w:rPr>
              <w:t>yr</w:t>
            </w:r>
            <w:proofErr w:type="spellEnd"/>
            <w:r w:rsidRPr="001F49B2">
              <w:rPr>
                <w:rFonts w:asciiTheme="minorHAnsi" w:hAnsiTheme="minorHAnsi"/>
                <w:color w:val="auto"/>
                <w:sz w:val="22"/>
                <w:szCs w:val="22"/>
              </w:rPr>
              <w:t>)</w:t>
            </w:r>
          </w:p>
        </w:tc>
        <w:tc>
          <w:tcPr>
            <w:tcW w:w="2440" w:type="dxa"/>
            <w:shd w:val="clear" w:color="auto" w:fill="auto"/>
            <w:vAlign w:val="center"/>
          </w:tcPr>
          <w:p w:rsidR="00F5224B" w:rsidRPr="001F49B2" w:rsidRDefault="00F5224B" w:rsidP="002739DD">
            <w:pPr>
              <w:pStyle w:val="Default"/>
              <w:keepNext/>
              <w:jc w:val="center"/>
              <w:rPr>
                <w:rFonts w:asciiTheme="minorHAnsi" w:hAnsiTheme="minorHAnsi"/>
                <w:color w:val="auto"/>
                <w:sz w:val="22"/>
                <w:szCs w:val="22"/>
              </w:rPr>
            </w:pPr>
            <w:r w:rsidRPr="001F49B2">
              <w:rPr>
                <w:rFonts w:asciiTheme="minorHAnsi" w:hAnsiTheme="minorHAnsi" w:cstheme="minorHAnsi"/>
                <w:color w:val="auto"/>
                <w:sz w:val="22"/>
                <w:szCs w:val="22"/>
              </w:rPr>
              <w:t>≥</w:t>
            </w:r>
            <w:r w:rsidRPr="001F49B2">
              <w:rPr>
                <w:rFonts w:asciiTheme="minorHAnsi" w:hAnsiTheme="minorHAnsi"/>
                <w:color w:val="auto"/>
                <w:sz w:val="22"/>
                <w:szCs w:val="22"/>
              </w:rPr>
              <w:t xml:space="preserve"> 1.25x</w:t>
            </w:r>
          </w:p>
        </w:tc>
        <w:tc>
          <w:tcPr>
            <w:tcW w:w="2538" w:type="dxa"/>
            <w:vAlign w:val="center"/>
          </w:tcPr>
          <w:p w:rsidR="00F5224B" w:rsidRPr="001F49B2" w:rsidRDefault="00F5224B" w:rsidP="002739DD">
            <w:pPr>
              <w:pStyle w:val="Default"/>
              <w:keepNext/>
              <w:jc w:val="center"/>
              <w:rPr>
                <w:rFonts w:asciiTheme="minorHAnsi" w:hAnsiTheme="minorHAnsi"/>
                <w:color w:val="auto"/>
                <w:sz w:val="22"/>
                <w:szCs w:val="22"/>
              </w:rPr>
            </w:pPr>
            <w:r w:rsidRPr="001F49B2">
              <w:rPr>
                <w:rFonts w:asciiTheme="minorHAnsi" w:hAnsiTheme="minorHAnsi"/>
                <w:color w:val="auto"/>
                <w:sz w:val="22"/>
                <w:szCs w:val="22"/>
              </w:rPr>
              <w:t>Must Meet for Auxiliary Projects</w:t>
            </w:r>
          </w:p>
        </w:tc>
      </w:tr>
    </w:tbl>
    <w:p w:rsidR="00F5224B" w:rsidRDefault="00F5224B" w:rsidP="00F5224B">
      <w:pPr>
        <w:spacing w:after="0"/>
        <w:rPr>
          <w:sz w:val="20"/>
        </w:rPr>
      </w:pPr>
    </w:p>
    <w:sectPr w:rsidR="00F5224B" w:rsidSect="001F49B2">
      <w:footerReference w:type="default" r:id="rId11"/>
      <w:footerReference w:type="first" r:id="rId12"/>
      <w:footnotePr>
        <w:pos w:val="beneathText"/>
      </w:footnotePr>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989" w:rsidRDefault="005B7989" w:rsidP="00E46D57">
      <w:pPr>
        <w:spacing w:after="0" w:line="240" w:lineRule="auto"/>
      </w:pPr>
      <w:r>
        <w:separator/>
      </w:r>
    </w:p>
  </w:endnote>
  <w:endnote w:type="continuationSeparator" w:id="0">
    <w:p w:rsidR="005B7989" w:rsidRDefault="005B7989" w:rsidP="00E46D57">
      <w:pPr>
        <w:spacing w:after="0" w:line="240" w:lineRule="auto"/>
      </w:pPr>
      <w:r>
        <w:continuationSeparator/>
      </w:r>
    </w:p>
  </w:endnote>
  <w:endnote w:type="continuationNotice" w:id="1">
    <w:p w:rsidR="005B7989" w:rsidRDefault="005B79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049691"/>
      <w:docPartObj>
        <w:docPartGallery w:val="Page Numbers (Bottom of Page)"/>
        <w:docPartUnique/>
      </w:docPartObj>
    </w:sdtPr>
    <w:sdtEndPr>
      <w:rPr>
        <w:noProof/>
      </w:rPr>
    </w:sdtEndPr>
    <w:sdtContent>
      <w:p w:rsidR="00A232DD" w:rsidRDefault="00A232DD">
        <w:pPr>
          <w:pStyle w:val="Footer"/>
          <w:jc w:val="right"/>
        </w:pPr>
        <w:r>
          <w:fldChar w:fldCharType="begin"/>
        </w:r>
        <w:r>
          <w:instrText xml:space="preserve"> PAGE   \* MERGEFORMAT </w:instrText>
        </w:r>
        <w:r>
          <w:fldChar w:fldCharType="separate"/>
        </w:r>
        <w:r w:rsidR="00EB58E3">
          <w:rPr>
            <w:noProof/>
          </w:rPr>
          <w:t>2</w:t>
        </w:r>
        <w:r>
          <w:rPr>
            <w:noProof/>
          </w:rPr>
          <w:fldChar w:fldCharType="end"/>
        </w:r>
      </w:p>
    </w:sdtContent>
  </w:sdt>
  <w:p w:rsidR="005B7989" w:rsidRPr="00325FE1" w:rsidRDefault="005B7989" w:rsidP="00325FE1">
    <w:pPr>
      <w:pStyle w:val="Footer"/>
      <w:tabs>
        <w:tab w:val="clear" w:pos="9360"/>
        <w:tab w:val="right" w:pos="10080"/>
      </w:tabs>
      <w:rPr>
        <w:color w:val="80808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881700"/>
      <w:docPartObj>
        <w:docPartGallery w:val="Page Numbers (Bottom of Page)"/>
        <w:docPartUnique/>
      </w:docPartObj>
    </w:sdtPr>
    <w:sdtEndPr>
      <w:rPr>
        <w:noProof/>
      </w:rPr>
    </w:sdtEndPr>
    <w:sdtContent>
      <w:p w:rsidR="00A232DD" w:rsidRDefault="00A232DD">
        <w:pPr>
          <w:pStyle w:val="Footer"/>
          <w:jc w:val="right"/>
        </w:pPr>
        <w:r>
          <w:fldChar w:fldCharType="begin"/>
        </w:r>
        <w:r>
          <w:instrText xml:space="preserve"> PAGE   \* MERGEFORMAT </w:instrText>
        </w:r>
        <w:r>
          <w:fldChar w:fldCharType="separate"/>
        </w:r>
        <w:r w:rsidR="00EB58E3">
          <w:rPr>
            <w:noProof/>
          </w:rPr>
          <w:t>1</w:t>
        </w:r>
        <w:r>
          <w:rPr>
            <w:noProof/>
          </w:rPr>
          <w:fldChar w:fldCharType="end"/>
        </w:r>
      </w:p>
    </w:sdtContent>
  </w:sdt>
  <w:p w:rsidR="00A232DD" w:rsidRDefault="00A23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989" w:rsidRDefault="005B7989" w:rsidP="00E46D57">
      <w:pPr>
        <w:spacing w:after="0" w:line="240" w:lineRule="auto"/>
      </w:pPr>
      <w:r>
        <w:separator/>
      </w:r>
    </w:p>
  </w:footnote>
  <w:footnote w:type="continuationSeparator" w:id="0">
    <w:p w:rsidR="005B7989" w:rsidRDefault="005B7989" w:rsidP="00E46D57">
      <w:pPr>
        <w:spacing w:after="0" w:line="240" w:lineRule="auto"/>
      </w:pPr>
      <w:r>
        <w:continuationSeparator/>
      </w:r>
    </w:p>
  </w:footnote>
  <w:footnote w:type="continuationNotice" w:id="1">
    <w:p w:rsidR="005B7989" w:rsidRDefault="005B7989">
      <w:pPr>
        <w:spacing w:after="0" w:line="240" w:lineRule="auto"/>
      </w:pPr>
    </w:p>
  </w:footnote>
  <w:footnote w:id="2">
    <w:p w:rsidR="00F804E8" w:rsidRPr="001F49B2" w:rsidRDefault="0099732A" w:rsidP="00F804E8">
      <w:pPr>
        <w:spacing w:after="0" w:line="240" w:lineRule="auto"/>
        <w:rPr>
          <w:rFonts w:eastAsiaTheme="minorEastAsia"/>
          <w:sz w:val="20"/>
          <w:szCs w:val="20"/>
        </w:rPr>
      </w:pPr>
      <w:r>
        <w:rPr>
          <w:rStyle w:val="FootnoteReference"/>
        </w:rPr>
        <w:footnoteRef/>
      </w:r>
      <w:r w:rsidR="00F804E8">
        <w:rPr>
          <w:rFonts w:eastAsiaTheme="minorEastAsia"/>
          <w:sz w:val="20"/>
          <w:szCs w:val="20"/>
        </w:rPr>
        <w:t xml:space="preserve"> </w:t>
      </w:r>
      <w:r w:rsidR="00F804E8" w:rsidRPr="001F49B2">
        <w:rPr>
          <w:rFonts w:eastAsiaTheme="minorEastAsia"/>
          <w:sz w:val="20"/>
          <w:szCs w:val="20"/>
        </w:rPr>
        <w:t>Fund sources for external financing shall adhere to University policy on repayment for capital projects.</w:t>
      </w:r>
    </w:p>
    <w:p w:rsidR="0099732A" w:rsidRDefault="0099732A">
      <w:pPr>
        <w:pStyle w:val="FootnoteText"/>
      </w:pPr>
      <w:r>
        <w:t xml:space="preserve"> </w:t>
      </w:r>
    </w:p>
    <w:p w:rsidR="00F804E8" w:rsidRDefault="00F804E8">
      <w:pPr>
        <w:pStyle w:val="FootnoteText"/>
      </w:pPr>
    </w:p>
    <w:p w:rsidR="00F804E8" w:rsidRDefault="00F804E8">
      <w:pPr>
        <w:pStyle w:val="FootnoteText"/>
      </w:pPr>
    </w:p>
    <w:p w:rsidR="00F804E8" w:rsidRDefault="00F804E8" w:rsidP="00F804E8">
      <w:pPr>
        <w:pStyle w:val="Default"/>
        <w:keepNext/>
        <w:spacing w:line="300" w:lineRule="atLeast"/>
        <w:rPr>
          <w:rFonts w:asciiTheme="minorHAnsi" w:hAnsiTheme="minorHAnsi"/>
          <w:b/>
          <w:color w:val="auto"/>
          <w:sz w:val="22"/>
          <w:szCs w:val="22"/>
        </w:rPr>
      </w:pPr>
      <w:r w:rsidRPr="00A16463">
        <w:rPr>
          <w:rFonts w:asciiTheme="minorHAnsi" w:hAnsiTheme="minorHAnsi"/>
          <w:b/>
          <w:color w:val="auto"/>
          <w:sz w:val="22"/>
          <w:szCs w:val="22"/>
        </w:rPr>
        <w:t xml:space="preserve">SECTION I.  Externally Financed Projects </w:t>
      </w:r>
    </w:p>
    <w:p w:rsidR="00F804E8" w:rsidRPr="00A16463" w:rsidRDefault="00F804E8" w:rsidP="00F804E8">
      <w:pPr>
        <w:pStyle w:val="Default"/>
        <w:keepNext/>
        <w:spacing w:line="300" w:lineRule="atLeast"/>
        <w:rPr>
          <w:rFonts w:asciiTheme="minorHAnsi" w:hAnsiTheme="minorHAnsi"/>
          <w:b/>
          <w:color w:val="auto"/>
          <w:sz w:val="22"/>
          <w:szCs w:val="22"/>
        </w:rPr>
      </w:pPr>
    </w:p>
    <w:tbl>
      <w:tblPr>
        <w:tblStyle w:val="TableGrid"/>
        <w:tblW w:w="0" w:type="auto"/>
        <w:tblLook w:val="04A0" w:firstRow="1" w:lastRow="0" w:firstColumn="1" w:lastColumn="0" w:noHBand="0" w:noVBand="1"/>
      </w:tblPr>
      <w:tblGrid>
        <w:gridCol w:w="5238"/>
        <w:gridCol w:w="4608"/>
      </w:tblGrid>
      <w:tr w:rsidR="00F804E8" w:rsidRPr="004506A4" w:rsidTr="00552866">
        <w:tc>
          <w:tcPr>
            <w:tcW w:w="9846" w:type="dxa"/>
            <w:gridSpan w:val="2"/>
            <w:shd w:val="clear" w:color="auto" w:fill="D9D9D9" w:themeFill="background1" w:themeFillShade="D9"/>
          </w:tcPr>
          <w:p w:rsidR="00F804E8" w:rsidRPr="004506A4" w:rsidRDefault="00F804E8" w:rsidP="00552866">
            <w:pPr>
              <w:pStyle w:val="Default"/>
              <w:keepNext/>
              <w:spacing w:before="40" w:after="40"/>
              <w:jc w:val="center"/>
              <w:rPr>
                <w:rFonts w:asciiTheme="minorHAnsi" w:hAnsiTheme="minorHAnsi"/>
                <w:b/>
                <w:caps/>
                <w:color w:val="auto"/>
                <w:spacing w:val="20"/>
                <w:sz w:val="22"/>
                <w:szCs w:val="22"/>
              </w:rPr>
            </w:pPr>
            <w:r w:rsidRPr="004506A4">
              <w:rPr>
                <w:rFonts w:asciiTheme="minorHAnsi" w:hAnsiTheme="minorHAnsi"/>
                <w:b/>
                <w:caps/>
                <w:color w:val="auto"/>
                <w:spacing w:val="20"/>
                <w:sz w:val="22"/>
                <w:szCs w:val="22"/>
              </w:rPr>
              <w:t>Financing Assumptions</w:t>
            </w:r>
          </w:p>
        </w:tc>
      </w:tr>
      <w:tr w:rsidR="00F804E8" w:rsidRPr="004506A4" w:rsidTr="00EF171B">
        <w:trPr>
          <w:trHeight w:val="20"/>
        </w:trPr>
        <w:tc>
          <w:tcPr>
            <w:tcW w:w="5238" w:type="dxa"/>
            <w:shd w:val="clear" w:color="auto" w:fill="auto"/>
          </w:tcPr>
          <w:p w:rsidR="00F804E8" w:rsidRPr="004506A4" w:rsidRDefault="00F804E8" w:rsidP="00552866">
            <w:pPr>
              <w:pStyle w:val="Default"/>
              <w:spacing w:before="40" w:after="40"/>
              <w:rPr>
                <w:rFonts w:asciiTheme="minorHAnsi" w:hAnsiTheme="minorHAnsi"/>
                <w:color w:val="auto"/>
                <w:sz w:val="22"/>
                <w:szCs w:val="22"/>
              </w:rPr>
            </w:pPr>
            <w:r>
              <w:rPr>
                <w:rFonts w:asciiTheme="minorHAnsi" w:hAnsiTheme="minorHAnsi"/>
                <w:color w:val="auto"/>
                <w:sz w:val="22"/>
                <w:szCs w:val="22"/>
              </w:rPr>
              <w:t>External Financing Amount</w:t>
            </w:r>
          </w:p>
        </w:tc>
        <w:tc>
          <w:tcPr>
            <w:tcW w:w="4608" w:type="dxa"/>
            <w:shd w:val="clear" w:color="auto" w:fill="auto"/>
          </w:tcPr>
          <w:p w:rsidR="00F804E8" w:rsidRPr="001F49B2" w:rsidRDefault="00F804E8" w:rsidP="00552866">
            <w:pPr>
              <w:pStyle w:val="Default"/>
              <w:spacing w:before="40" w:after="40"/>
              <w:rPr>
                <w:rFonts w:asciiTheme="minorHAnsi" w:hAnsiTheme="minorHAnsi"/>
                <w:color w:val="auto"/>
                <w:sz w:val="22"/>
                <w:szCs w:val="22"/>
              </w:rPr>
            </w:pPr>
            <w:r w:rsidRPr="001F49B2">
              <w:rPr>
                <w:rFonts w:asciiTheme="minorHAnsi" w:hAnsiTheme="minorHAnsi"/>
                <w:color w:val="auto"/>
                <w:sz w:val="22"/>
                <w:szCs w:val="22"/>
              </w:rPr>
              <w:t>$</w:t>
            </w:r>
          </w:p>
        </w:tc>
      </w:tr>
      <w:tr w:rsidR="00F804E8" w:rsidRPr="004506A4" w:rsidTr="00EF171B">
        <w:trPr>
          <w:trHeight w:val="20"/>
        </w:trPr>
        <w:tc>
          <w:tcPr>
            <w:tcW w:w="5238" w:type="dxa"/>
            <w:shd w:val="clear" w:color="auto" w:fill="auto"/>
          </w:tcPr>
          <w:p w:rsidR="00F804E8" w:rsidRPr="004506A4" w:rsidRDefault="00F804E8" w:rsidP="00552866">
            <w:pPr>
              <w:pStyle w:val="Default"/>
              <w:spacing w:before="40" w:after="40"/>
              <w:rPr>
                <w:rFonts w:asciiTheme="minorHAnsi" w:hAnsiTheme="minorHAnsi"/>
                <w:color w:val="auto"/>
                <w:sz w:val="22"/>
                <w:szCs w:val="22"/>
              </w:rPr>
            </w:pPr>
            <w:r w:rsidRPr="004506A4">
              <w:rPr>
                <w:rFonts w:asciiTheme="minorHAnsi" w:hAnsiTheme="minorHAnsi"/>
                <w:color w:val="auto"/>
                <w:sz w:val="22"/>
                <w:szCs w:val="22"/>
              </w:rPr>
              <w:t>Anticipated Repayment Source</w:t>
            </w:r>
          </w:p>
        </w:tc>
        <w:tc>
          <w:tcPr>
            <w:tcW w:w="4608" w:type="dxa"/>
            <w:shd w:val="clear" w:color="auto" w:fill="auto"/>
          </w:tcPr>
          <w:p w:rsidR="00F804E8" w:rsidRPr="001F49B2" w:rsidRDefault="00F804E8" w:rsidP="00552866">
            <w:pPr>
              <w:pStyle w:val="Default"/>
              <w:spacing w:before="40" w:after="40"/>
              <w:rPr>
                <w:rFonts w:asciiTheme="minorHAnsi" w:hAnsiTheme="minorHAnsi"/>
                <w:color w:val="auto"/>
                <w:sz w:val="22"/>
                <w:szCs w:val="22"/>
              </w:rPr>
            </w:pPr>
            <w:r w:rsidRPr="001F49B2">
              <w:rPr>
                <w:rFonts w:asciiTheme="minorHAnsi" w:hAnsiTheme="minorHAnsi"/>
                <w:color w:val="auto"/>
                <w:sz w:val="22"/>
                <w:szCs w:val="22"/>
              </w:rPr>
              <w:t>General Revenues of the [     ] campus</w:t>
            </w:r>
          </w:p>
        </w:tc>
      </w:tr>
      <w:tr w:rsidR="00F804E8" w:rsidRPr="004506A4" w:rsidTr="00EF171B">
        <w:trPr>
          <w:trHeight w:val="20"/>
        </w:trPr>
        <w:tc>
          <w:tcPr>
            <w:tcW w:w="5238" w:type="dxa"/>
            <w:shd w:val="clear" w:color="auto" w:fill="auto"/>
          </w:tcPr>
          <w:p w:rsidR="00F804E8" w:rsidRPr="004506A4" w:rsidRDefault="00F804E8" w:rsidP="00552866">
            <w:pPr>
              <w:pStyle w:val="Default"/>
              <w:spacing w:before="40" w:after="40"/>
              <w:rPr>
                <w:rFonts w:asciiTheme="minorHAnsi" w:hAnsiTheme="minorHAnsi"/>
                <w:color w:val="auto"/>
                <w:sz w:val="22"/>
                <w:szCs w:val="22"/>
              </w:rPr>
            </w:pPr>
            <w:r w:rsidRPr="004506A4">
              <w:rPr>
                <w:rFonts w:asciiTheme="minorHAnsi" w:hAnsiTheme="minorHAnsi"/>
                <w:color w:val="auto"/>
                <w:sz w:val="22"/>
                <w:szCs w:val="22"/>
              </w:rPr>
              <w:t>Anticipated Fund Source</w:t>
            </w:r>
          </w:p>
        </w:tc>
        <w:tc>
          <w:tcPr>
            <w:tcW w:w="4608" w:type="dxa"/>
            <w:shd w:val="clear" w:color="auto" w:fill="auto"/>
          </w:tcPr>
          <w:p w:rsidR="00F804E8" w:rsidRPr="001F49B2" w:rsidRDefault="00F804E8" w:rsidP="00552866">
            <w:pPr>
              <w:pStyle w:val="Default"/>
              <w:spacing w:before="40" w:after="40"/>
              <w:rPr>
                <w:rFonts w:asciiTheme="minorHAnsi" w:hAnsiTheme="minorHAnsi"/>
                <w:color w:val="auto"/>
                <w:sz w:val="22"/>
                <w:szCs w:val="22"/>
              </w:rPr>
            </w:pPr>
          </w:p>
        </w:tc>
      </w:tr>
      <w:tr w:rsidR="00F804E8" w:rsidRPr="004506A4" w:rsidTr="00EF171B">
        <w:trPr>
          <w:trHeight w:val="20"/>
        </w:trPr>
        <w:tc>
          <w:tcPr>
            <w:tcW w:w="5238" w:type="dxa"/>
            <w:shd w:val="clear" w:color="auto" w:fill="auto"/>
          </w:tcPr>
          <w:p w:rsidR="00F804E8" w:rsidRPr="004506A4" w:rsidRDefault="00F804E8" w:rsidP="00552866">
            <w:pPr>
              <w:pStyle w:val="Default"/>
              <w:spacing w:before="40" w:after="40"/>
              <w:rPr>
                <w:rFonts w:asciiTheme="minorHAnsi" w:hAnsiTheme="minorHAnsi"/>
                <w:color w:val="auto"/>
                <w:sz w:val="22"/>
                <w:szCs w:val="22"/>
              </w:rPr>
            </w:pPr>
            <w:r w:rsidRPr="004506A4">
              <w:rPr>
                <w:rFonts w:asciiTheme="minorHAnsi" w:hAnsiTheme="minorHAnsi"/>
                <w:color w:val="auto"/>
                <w:sz w:val="22"/>
                <w:szCs w:val="22"/>
              </w:rPr>
              <w:t>Financial Feasibility Rate</w:t>
            </w:r>
          </w:p>
        </w:tc>
        <w:tc>
          <w:tcPr>
            <w:tcW w:w="4608" w:type="dxa"/>
            <w:shd w:val="clear" w:color="auto" w:fill="auto"/>
          </w:tcPr>
          <w:p w:rsidR="00F804E8" w:rsidRPr="001F49B2" w:rsidRDefault="00F804E8" w:rsidP="00552866">
            <w:pPr>
              <w:pStyle w:val="Default"/>
              <w:spacing w:before="40" w:after="40"/>
              <w:rPr>
                <w:rFonts w:asciiTheme="minorHAnsi" w:hAnsiTheme="minorHAnsi"/>
                <w:color w:val="auto"/>
                <w:sz w:val="22"/>
                <w:szCs w:val="22"/>
              </w:rPr>
            </w:pPr>
            <w:r w:rsidRPr="001F49B2">
              <w:rPr>
                <w:rFonts w:asciiTheme="minorHAnsi" w:hAnsiTheme="minorHAnsi"/>
                <w:color w:val="auto"/>
                <w:sz w:val="22"/>
                <w:szCs w:val="22"/>
              </w:rPr>
              <w:t>%</w:t>
            </w:r>
          </w:p>
        </w:tc>
      </w:tr>
      <w:tr w:rsidR="00F804E8" w:rsidRPr="004506A4" w:rsidTr="00EF171B">
        <w:trPr>
          <w:trHeight w:val="20"/>
        </w:trPr>
        <w:tc>
          <w:tcPr>
            <w:tcW w:w="5238" w:type="dxa"/>
            <w:shd w:val="clear" w:color="auto" w:fill="auto"/>
          </w:tcPr>
          <w:p w:rsidR="00F804E8" w:rsidRPr="004506A4" w:rsidRDefault="00F804E8" w:rsidP="00EF171B">
            <w:pPr>
              <w:pStyle w:val="Default"/>
              <w:spacing w:before="40" w:after="40"/>
              <w:rPr>
                <w:rFonts w:asciiTheme="minorHAnsi" w:hAnsiTheme="minorHAnsi"/>
                <w:color w:val="auto"/>
                <w:sz w:val="22"/>
                <w:szCs w:val="22"/>
              </w:rPr>
            </w:pPr>
            <w:r w:rsidRPr="004506A4">
              <w:rPr>
                <w:rFonts w:asciiTheme="minorHAnsi" w:hAnsiTheme="minorHAnsi"/>
                <w:color w:val="auto"/>
                <w:sz w:val="22"/>
                <w:szCs w:val="22"/>
              </w:rPr>
              <w:t xml:space="preserve">First Year of </w:t>
            </w:r>
            <w:r w:rsidR="00EF171B">
              <w:rPr>
                <w:rFonts w:asciiTheme="minorHAnsi" w:hAnsiTheme="minorHAnsi"/>
                <w:color w:val="auto"/>
                <w:sz w:val="22"/>
                <w:szCs w:val="22"/>
              </w:rPr>
              <w:t>Repayment</w:t>
            </w:r>
            <w:r w:rsidRPr="004506A4">
              <w:rPr>
                <w:rFonts w:asciiTheme="minorHAnsi" w:hAnsiTheme="minorHAnsi"/>
                <w:color w:val="auto"/>
                <w:sz w:val="22"/>
                <w:szCs w:val="22"/>
              </w:rPr>
              <w:t xml:space="preserve"> </w:t>
            </w:r>
            <w:r>
              <w:rPr>
                <w:rFonts w:asciiTheme="minorHAnsi" w:hAnsiTheme="minorHAnsi"/>
                <w:color w:val="auto"/>
                <w:sz w:val="22"/>
                <w:szCs w:val="22"/>
              </w:rPr>
              <w:t>(e.g. FY 20XX)</w:t>
            </w:r>
          </w:p>
        </w:tc>
        <w:tc>
          <w:tcPr>
            <w:tcW w:w="4608" w:type="dxa"/>
            <w:shd w:val="clear" w:color="auto" w:fill="auto"/>
          </w:tcPr>
          <w:p w:rsidR="00F804E8" w:rsidRPr="001F49B2" w:rsidRDefault="00F804E8" w:rsidP="00552866">
            <w:pPr>
              <w:pStyle w:val="Default"/>
              <w:spacing w:before="40" w:after="40"/>
              <w:rPr>
                <w:rFonts w:asciiTheme="minorHAnsi" w:hAnsiTheme="minorHAnsi"/>
                <w:color w:val="auto"/>
                <w:sz w:val="22"/>
                <w:szCs w:val="22"/>
              </w:rPr>
            </w:pPr>
            <w:r w:rsidRPr="001F49B2">
              <w:rPr>
                <w:rFonts w:asciiTheme="minorHAnsi" w:hAnsiTheme="minorHAnsi"/>
                <w:color w:val="auto"/>
                <w:sz w:val="22"/>
                <w:szCs w:val="22"/>
              </w:rPr>
              <w:t>20XX</w:t>
            </w:r>
          </w:p>
        </w:tc>
      </w:tr>
      <w:tr w:rsidR="00F804E8" w:rsidRPr="004506A4" w:rsidTr="00EF171B">
        <w:trPr>
          <w:trHeight w:val="20"/>
        </w:trPr>
        <w:tc>
          <w:tcPr>
            <w:tcW w:w="5238" w:type="dxa"/>
            <w:shd w:val="clear" w:color="auto" w:fill="auto"/>
          </w:tcPr>
          <w:p w:rsidR="00F804E8" w:rsidRPr="004506A4" w:rsidRDefault="00F804E8" w:rsidP="00552866">
            <w:pPr>
              <w:pStyle w:val="Default"/>
              <w:spacing w:before="40" w:after="40"/>
              <w:rPr>
                <w:rFonts w:asciiTheme="minorHAnsi" w:hAnsiTheme="minorHAnsi"/>
                <w:color w:val="auto"/>
                <w:sz w:val="22"/>
                <w:szCs w:val="22"/>
              </w:rPr>
            </w:pPr>
            <w:r w:rsidRPr="004506A4">
              <w:rPr>
                <w:rFonts w:asciiTheme="minorHAnsi" w:hAnsiTheme="minorHAnsi"/>
                <w:color w:val="auto"/>
                <w:sz w:val="22"/>
                <w:szCs w:val="22"/>
              </w:rPr>
              <w:t>Term (e.g. 30 years</w:t>
            </w:r>
            <w:r w:rsidR="00EF171B">
              <w:rPr>
                <w:rFonts w:asciiTheme="minorHAnsi" w:hAnsiTheme="minorHAnsi"/>
                <w:color w:val="auto"/>
                <w:sz w:val="22"/>
                <w:szCs w:val="22"/>
              </w:rPr>
              <w:t>; indicate if any years interest only</w:t>
            </w:r>
            <w:r w:rsidRPr="004506A4">
              <w:rPr>
                <w:rFonts w:asciiTheme="minorHAnsi" w:hAnsiTheme="minorHAnsi"/>
                <w:color w:val="auto"/>
                <w:sz w:val="22"/>
                <w:szCs w:val="22"/>
              </w:rPr>
              <w:t>)</w:t>
            </w:r>
          </w:p>
        </w:tc>
        <w:tc>
          <w:tcPr>
            <w:tcW w:w="4608" w:type="dxa"/>
            <w:shd w:val="clear" w:color="auto" w:fill="auto"/>
          </w:tcPr>
          <w:p w:rsidR="00F804E8" w:rsidRPr="001F49B2" w:rsidRDefault="00F804E8" w:rsidP="00552866">
            <w:pPr>
              <w:pStyle w:val="Default"/>
              <w:spacing w:before="40" w:after="40"/>
              <w:rPr>
                <w:rFonts w:asciiTheme="minorHAnsi" w:hAnsiTheme="minorHAnsi"/>
                <w:color w:val="auto"/>
                <w:sz w:val="22"/>
                <w:szCs w:val="22"/>
              </w:rPr>
            </w:pPr>
            <w:r w:rsidRPr="001F49B2">
              <w:rPr>
                <w:rFonts w:asciiTheme="minorHAnsi" w:hAnsiTheme="minorHAnsi"/>
                <w:color w:val="auto"/>
                <w:sz w:val="22"/>
                <w:szCs w:val="22"/>
              </w:rPr>
              <w:t>XX years</w:t>
            </w:r>
          </w:p>
        </w:tc>
      </w:tr>
      <w:tr w:rsidR="00F804E8" w:rsidRPr="004506A4" w:rsidTr="00EF171B">
        <w:trPr>
          <w:trHeight w:val="20"/>
        </w:trPr>
        <w:tc>
          <w:tcPr>
            <w:tcW w:w="5238" w:type="dxa"/>
            <w:shd w:val="clear" w:color="auto" w:fill="auto"/>
          </w:tcPr>
          <w:p w:rsidR="00F804E8" w:rsidRPr="004506A4" w:rsidRDefault="00F804E8" w:rsidP="00552866">
            <w:pPr>
              <w:pStyle w:val="Default"/>
              <w:spacing w:before="40" w:after="40"/>
              <w:rPr>
                <w:rFonts w:asciiTheme="minorHAnsi" w:hAnsiTheme="minorHAnsi"/>
                <w:color w:val="auto"/>
                <w:sz w:val="22"/>
                <w:szCs w:val="22"/>
              </w:rPr>
            </w:pPr>
            <w:r w:rsidRPr="004506A4">
              <w:rPr>
                <w:rFonts w:asciiTheme="minorHAnsi" w:hAnsiTheme="minorHAnsi"/>
                <w:color w:val="auto"/>
                <w:sz w:val="22"/>
                <w:szCs w:val="22"/>
              </w:rPr>
              <w:t xml:space="preserve">Final Maturity (e.g. </w:t>
            </w:r>
            <w:r>
              <w:rPr>
                <w:rFonts w:asciiTheme="minorHAnsi" w:hAnsiTheme="minorHAnsi"/>
                <w:color w:val="auto"/>
                <w:sz w:val="22"/>
                <w:szCs w:val="22"/>
              </w:rPr>
              <w:t xml:space="preserve">FY </w:t>
            </w:r>
            <w:r w:rsidRPr="004506A4">
              <w:rPr>
                <w:rFonts w:asciiTheme="minorHAnsi" w:hAnsiTheme="minorHAnsi"/>
                <w:color w:val="auto"/>
                <w:sz w:val="22"/>
                <w:szCs w:val="22"/>
              </w:rPr>
              <w:t>20XX)</w:t>
            </w:r>
          </w:p>
        </w:tc>
        <w:tc>
          <w:tcPr>
            <w:tcW w:w="4608" w:type="dxa"/>
            <w:shd w:val="clear" w:color="auto" w:fill="auto"/>
          </w:tcPr>
          <w:p w:rsidR="00F804E8" w:rsidRPr="001F49B2" w:rsidRDefault="00F804E8" w:rsidP="00552866">
            <w:pPr>
              <w:pStyle w:val="Default"/>
              <w:spacing w:before="40" w:after="40"/>
              <w:rPr>
                <w:rFonts w:asciiTheme="minorHAnsi" w:hAnsiTheme="minorHAnsi"/>
                <w:color w:val="auto"/>
                <w:sz w:val="22"/>
                <w:szCs w:val="22"/>
              </w:rPr>
            </w:pPr>
            <w:r w:rsidRPr="001F49B2">
              <w:rPr>
                <w:rFonts w:asciiTheme="minorHAnsi" w:hAnsiTheme="minorHAnsi"/>
                <w:color w:val="auto"/>
                <w:sz w:val="22"/>
                <w:szCs w:val="22"/>
              </w:rPr>
              <w:t>20XX</w:t>
            </w:r>
          </w:p>
        </w:tc>
      </w:tr>
      <w:tr w:rsidR="00F804E8" w:rsidRPr="00A16463" w:rsidTr="00EF171B">
        <w:trPr>
          <w:trHeight w:val="20"/>
        </w:trPr>
        <w:tc>
          <w:tcPr>
            <w:tcW w:w="5238" w:type="dxa"/>
            <w:shd w:val="clear" w:color="auto" w:fill="auto"/>
          </w:tcPr>
          <w:p w:rsidR="00F804E8" w:rsidRPr="00A16463" w:rsidRDefault="00F804E8" w:rsidP="00552866">
            <w:pPr>
              <w:pStyle w:val="Default"/>
              <w:spacing w:before="40" w:after="40"/>
              <w:rPr>
                <w:rFonts w:asciiTheme="minorHAnsi" w:hAnsiTheme="minorHAnsi"/>
                <w:color w:val="auto"/>
                <w:sz w:val="22"/>
                <w:szCs w:val="22"/>
              </w:rPr>
            </w:pPr>
            <w:r w:rsidRPr="004506A4">
              <w:rPr>
                <w:rFonts w:asciiTheme="minorHAnsi" w:hAnsiTheme="minorHAnsi"/>
                <w:color w:val="auto"/>
                <w:sz w:val="22"/>
                <w:szCs w:val="22"/>
              </w:rPr>
              <w:t>Estimated Average Annual Debt Service</w:t>
            </w:r>
          </w:p>
        </w:tc>
        <w:tc>
          <w:tcPr>
            <w:tcW w:w="4608" w:type="dxa"/>
            <w:shd w:val="clear" w:color="auto" w:fill="auto"/>
          </w:tcPr>
          <w:p w:rsidR="00F804E8" w:rsidRPr="001F49B2" w:rsidRDefault="00F804E8" w:rsidP="00552866">
            <w:pPr>
              <w:pStyle w:val="Default"/>
              <w:spacing w:before="40" w:after="40"/>
              <w:rPr>
                <w:rFonts w:asciiTheme="minorHAnsi" w:hAnsiTheme="minorHAnsi"/>
                <w:color w:val="auto"/>
                <w:sz w:val="22"/>
                <w:szCs w:val="22"/>
              </w:rPr>
            </w:pPr>
            <w:r w:rsidRPr="001F49B2">
              <w:rPr>
                <w:rFonts w:asciiTheme="minorHAnsi" w:hAnsiTheme="minorHAnsi"/>
                <w:color w:val="auto"/>
                <w:sz w:val="22"/>
                <w:szCs w:val="22"/>
              </w:rPr>
              <w:t>$</w:t>
            </w:r>
          </w:p>
        </w:tc>
      </w:tr>
    </w:tbl>
    <w:p w:rsidR="00F804E8" w:rsidRDefault="00F804E8" w:rsidP="00F804E8">
      <w:pPr>
        <w:pStyle w:val="Default"/>
        <w:rPr>
          <w:rFonts w:asciiTheme="minorHAnsi" w:hAnsiTheme="minorHAnsi"/>
          <w:color w:val="auto"/>
          <w:sz w:val="20"/>
        </w:rPr>
      </w:pPr>
    </w:p>
    <w:p w:rsidR="00F804E8" w:rsidRDefault="00F804E8">
      <w:pPr>
        <w:pStyle w:val="FootnoteText"/>
      </w:pPr>
    </w:p>
  </w:footnote>
  <w:footnote w:id="3">
    <w:p w:rsidR="0099732A" w:rsidRDefault="0099732A">
      <w:pPr>
        <w:pStyle w:val="FootnoteText"/>
      </w:pPr>
      <w:r>
        <w:rPr>
          <w:rStyle w:val="FootnoteReference"/>
        </w:rPr>
        <w:footnoteRef/>
      </w:r>
      <w:r>
        <w:t xml:space="preserve"> Modified Cash Flow Margin, Debt Service to Operations, and Expendable Resources to Debt are campus metrics</w:t>
      </w:r>
      <w:r w:rsidR="00E24986">
        <w:t>.</w:t>
      </w:r>
    </w:p>
  </w:footnote>
  <w:footnote w:id="4">
    <w:p w:rsidR="0099732A" w:rsidRDefault="0099732A">
      <w:pPr>
        <w:pStyle w:val="FootnoteText"/>
      </w:pPr>
      <w:r>
        <w:rPr>
          <w:rStyle w:val="FootnoteReference"/>
        </w:rPr>
        <w:footnoteRef/>
      </w:r>
      <w:r>
        <w:t xml:space="preserve"> Auxiliary Project Debt Service Coverage is an individual project metric</w:t>
      </w:r>
      <w:r w:rsidR="00E24986">
        <w:t>.</w:t>
      </w:r>
    </w:p>
  </w:footnote>
  <w:footnote w:id="5">
    <w:p w:rsidR="00F804E8" w:rsidRDefault="0099732A">
      <w:pPr>
        <w:pStyle w:val="FootnoteText"/>
      </w:pPr>
      <w:r>
        <w:rPr>
          <w:rStyle w:val="FootnoteReference"/>
        </w:rPr>
        <w:footnoteRef/>
      </w:r>
      <w:r>
        <w:t xml:space="preserve"> </w:t>
      </w:r>
      <w:r w:rsidR="00F804E8">
        <w:t>Auxiliary Debt Service Coverage is a campus’ auxiliary system metric</w:t>
      </w:r>
      <w:r w:rsidR="00E24986">
        <w:t>.</w:t>
      </w:r>
    </w:p>
    <w:p w:rsidR="00EB58E3" w:rsidRDefault="00EB58E3">
      <w:pPr>
        <w:pStyle w:val="FootnoteText"/>
      </w:pPr>
      <w:r>
        <w:rPr>
          <w:rStyle w:val="FootnoteReference"/>
        </w:rPr>
        <w:t>5</w:t>
      </w:r>
      <w:r>
        <w:t xml:space="preserve"> Expendable Resources to Debt are not projected. The ratio provided here is a snapshot as of the most recent fiscal </w:t>
      </w:r>
      <w:r>
        <w:t>year.</w:t>
      </w:r>
      <w:bookmarkStart w:id="0" w:name="_GoBack"/>
      <w:bookmarkEnd w:id="0"/>
    </w:p>
  </w:footnote>
  <w:footnote w:id="6">
    <w:p w:rsidR="00F5224B" w:rsidRDefault="00F5224B" w:rsidP="00F5224B">
      <w:pPr>
        <w:pStyle w:val="FootnoteText"/>
      </w:pPr>
      <w:r>
        <w:rPr>
          <w:rStyle w:val="FootnoteReference"/>
        </w:rPr>
        <w:footnoteRef/>
      </w:r>
      <w:r>
        <w:t xml:space="preserve"> Modified Cash Flow Margin, Debt Service to Operations, and Expendable Resources to Debt are campus metrics.</w:t>
      </w:r>
    </w:p>
  </w:footnote>
  <w:footnote w:id="7">
    <w:p w:rsidR="00F5224B" w:rsidRDefault="00F5224B" w:rsidP="00F5224B">
      <w:pPr>
        <w:pStyle w:val="FootnoteText"/>
      </w:pPr>
      <w:r>
        <w:rPr>
          <w:rStyle w:val="FootnoteReference"/>
        </w:rPr>
        <w:footnoteRef/>
      </w:r>
      <w:r>
        <w:t xml:space="preserve"> Auxiliary Project Debt Service Coverage is an individual project metric.</w:t>
      </w:r>
    </w:p>
  </w:footnote>
  <w:footnote w:id="8">
    <w:p w:rsidR="00F5224B" w:rsidRDefault="00F5224B" w:rsidP="00F5224B">
      <w:pPr>
        <w:pStyle w:val="FootnoteText"/>
      </w:pPr>
      <w:r>
        <w:rPr>
          <w:rStyle w:val="FootnoteReference"/>
        </w:rPr>
        <w:footnoteRef/>
      </w:r>
      <w:r>
        <w:t xml:space="preserve"> Auxiliary Debt Service Coverage is a campus’ auxiliary system metric.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56B"/>
    <w:multiLevelType w:val="hybridMultilevel"/>
    <w:tmpl w:val="E1C03534"/>
    <w:lvl w:ilvl="0" w:tplc="C45EE8D6">
      <w:numFmt w:val="bullet"/>
      <w:lvlText w:val="•"/>
      <w:lvlJc w:val="left"/>
      <w:pPr>
        <w:ind w:left="900" w:hanging="360"/>
      </w:pPr>
      <w:rPr>
        <w:rFonts w:ascii="Calibri" w:eastAsia="Calibri" w:hAnsi="Calibri"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8E27BBB"/>
    <w:multiLevelType w:val="hybridMultilevel"/>
    <w:tmpl w:val="1F569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FB393E"/>
    <w:multiLevelType w:val="hybridMultilevel"/>
    <w:tmpl w:val="0812E24E"/>
    <w:lvl w:ilvl="0" w:tplc="89B8B8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A187D"/>
    <w:multiLevelType w:val="hybridMultilevel"/>
    <w:tmpl w:val="4008C8C6"/>
    <w:lvl w:ilvl="0" w:tplc="026EA082">
      <w:start w:val="1"/>
      <w:numFmt w:val="lowerLetter"/>
      <w:lvlText w:val="%1."/>
      <w:lvlJc w:val="left"/>
      <w:pPr>
        <w:ind w:left="720" w:hanging="360"/>
      </w:pPr>
      <w:rPr>
        <w:rFonts w:ascii="Calibri" w:hAnsi="Calibri"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F078C"/>
    <w:multiLevelType w:val="hybridMultilevel"/>
    <w:tmpl w:val="DB3C06EA"/>
    <w:lvl w:ilvl="0" w:tplc="A7DAFC04">
      <w:start w:val="1"/>
      <w:numFmt w:val="lowerLetter"/>
      <w:lvlText w:val="%1."/>
      <w:lvlJc w:val="left"/>
      <w:pPr>
        <w:ind w:left="720" w:hanging="360"/>
      </w:pPr>
      <w:rPr>
        <w:rFonts w:ascii="Calibri" w:hAnsi="Calibri"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C2875"/>
    <w:multiLevelType w:val="hybridMultilevel"/>
    <w:tmpl w:val="22A2E48C"/>
    <w:lvl w:ilvl="0" w:tplc="7B5E62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07206"/>
    <w:multiLevelType w:val="hybridMultilevel"/>
    <w:tmpl w:val="D9C4B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C4C9A"/>
    <w:multiLevelType w:val="hybridMultilevel"/>
    <w:tmpl w:val="E5EE9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1106E"/>
    <w:multiLevelType w:val="hybridMultilevel"/>
    <w:tmpl w:val="EB5CD9BE"/>
    <w:lvl w:ilvl="0" w:tplc="04090001">
      <w:start w:val="1"/>
      <w:numFmt w:val="bullet"/>
      <w:lvlText w:val=""/>
      <w:lvlJc w:val="left"/>
      <w:pPr>
        <w:ind w:left="4497" w:hanging="360"/>
      </w:pPr>
      <w:rPr>
        <w:rFonts w:ascii="Symbol" w:hAnsi="Symbol" w:hint="default"/>
      </w:rPr>
    </w:lvl>
    <w:lvl w:ilvl="1" w:tplc="04090003" w:tentative="1">
      <w:start w:val="1"/>
      <w:numFmt w:val="bullet"/>
      <w:lvlText w:val="o"/>
      <w:lvlJc w:val="left"/>
      <w:pPr>
        <w:ind w:left="5217" w:hanging="360"/>
      </w:pPr>
      <w:rPr>
        <w:rFonts w:ascii="Courier New" w:hAnsi="Courier New" w:cs="Courier New" w:hint="default"/>
      </w:rPr>
    </w:lvl>
    <w:lvl w:ilvl="2" w:tplc="04090005" w:tentative="1">
      <w:start w:val="1"/>
      <w:numFmt w:val="bullet"/>
      <w:lvlText w:val=""/>
      <w:lvlJc w:val="left"/>
      <w:pPr>
        <w:ind w:left="5937" w:hanging="360"/>
      </w:pPr>
      <w:rPr>
        <w:rFonts w:ascii="Wingdings" w:hAnsi="Wingdings" w:hint="default"/>
      </w:rPr>
    </w:lvl>
    <w:lvl w:ilvl="3" w:tplc="04090001" w:tentative="1">
      <w:start w:val="1"/>
      <w:numFmt w:val="bullet"/>
      <w:lvlText w:val=""/>
      <w:lvlJc w:val="left"/>
      <w:pPr>
        <w:ind w:left="6657" w:hanging="360"/>
      </w:pPr>
      <w:rPr>
        <w:rFonts w:ascii="Symbol" w:hAnsi="Symbol" w:hint="default"/>
      </w:rPr>
    </w:lvl>
    <w:lvl w:ilvl="4" w:tplc="04090003" w:tentative="1">
      <w:start w:val="1"/>
      <w:numFmt w:val="bullet"/>
      <w:lvlText w:val="o"/>
      <w:lvlJc w:val="left"/>
      <w:pPr>
        <w:ind w:left="7377" w:hanging="360"/>
      </w:pPr>
      <w:rPr>
        <w:rFonts w:ascii="Courier New" w:hAnsi="Courier New" w:cs="Courier New" w:hint="default"/>
      </w:rPr>
    </w:lvl>
    <w:lvl w:ilvl="5" w:tplc="04090005" w:tentative="1">
      <w:start w:val="1"/>
      <w:numFmt w:val="bullet"/>
      <w:lvlText w:val=""/>
      <w:lvlJc w:val="left"/>
      <w:pPr>
        <w:ind w:left="8097" w:hanging="360"/>
      </w:pPr>
      <w:rPr>
        <w:rFonts w:ascii="Wingdings" w:hAnsi="Wingdings" w:hint="default"/>
      </w:rPr>
    </w:lvl>
    <w:lvl w:ilvl="6" w:tplc="04090001" w:tentative="1">
      <w:start w:val="1"/>
      <w:numFmt w:val="bullet"/>
      <w:lvlText w:val=""/>
      <w:lvlJc w:val="left"/>
      <w:pPr>
        <w:ind w:left="8817" w:hanging="360"/>
      </w:pPr>
      <w:rPr>
        <w:rFonts w:ascii="Symbol" w:hAnsi="Symbol" w:hint="default"/>
      </w:rPr>
    </w:lvl>
    <w:lvl w:ilvl="7" w:tplc="04090003" w:tentative="1">
      <w:start w:val="1"/>
      <w:numFmt w:val="bullet"/>
      <w:lvlText w:val="o"/>
      <w:lvlJc w:val="left"/>
      <w:pPr>
        <w:ind w:left="9537" w:hanging="360"/>
      </w:pPr>
      <w:rPr>
        <w:rFonts w:ascii="Courier New" w:hAnsi="Courier New" w:cs="Courier New" w:hint="default"/>
      </w:rPr>
    </w:lvl>
    <w:lvl w:ilvl="8" w:tplc="04090005" w:tentative="1">
      <w:start w:val="1"/>
      <w:numFmt w:val="bullet"/>
      <w:lvlText w:val=""/>
      <w:lvlJc w:val="left"/>
      <w:pPr>
        <w:ind w:left="10257" w:hanging="360"/>
      </w:pPr>
      <w:rPr>
        <w:rFonts w:ascii="Wingdings" w:hAnsi="Wingdings" w:hint="default"/>
      </w:rPr>
    </w:lvl>
  </w:abstractNum>
  <w:abstractNum w:abstractNumId="9">
    <w:nsid w:val="36AF0706"/>
    <w:multiLevelType w:val="hybridMultilevel"/>
    <w:tmpl w:val="22267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6E1628"/>
    <w:multiLevelType w:val="hybridMultilevel"/>
    <w:tmpl w:val="C5AE35A2"/>
    <w:lvl w:ilvl="0" w:tplc="31D4F14E">
      <w:numFmt w:val="bullet"/>
      <w:lvlText w:val="•"/>
      <w:lvlJc w:val="left"/>
      <w:pPr>
        <w:ind w:left="900" w:hanging="360"/>
      </w:pPr>
      <w:rPr>
        <w:rFonts w:ascii="Calibri" w:eastAsia="Calibri" w:hAnsi="Calibri"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421602DB"/>
    <w:multiLevelType w:val="hybridMultilevel"/>
    <w:tmpl w:val="DC1A5DB4"/>
    <w:lvl w:ilvl="0" w:tplc="2292B56E">
      <w:start w:val="1"/>
      <w:numFmt w:val="decimal"/>
      <w:lvlText w:val="%1."/>
      <w:lvlJc w:val="left"/>
      <w:pPr>
        <w:ind w:left="720" w:hanging="360"/>
      </w:pPr>
      <w:rPr>
        <w:rFonts w:ascii="Calibri" w:hAnsi="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8754A"/>
    <w:multiLevelType w:val="hybridMultilevel"/>
    <w:tmpl w:val="6B283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C2309"/>
    <w:multiLevelType w:val="hybridMultilevel"/>
    <w:tmpl w:val="AD1E00CE"/>
    <w:lvl w:ilvl="0" w:tplc="350A0B06">
      <w:start w:val="1"/>
      <w:numFmt w:val="bullet"/>
      <w:lvlText w:val=""/>
      <w:lvlJc w:val="left"/>
      <w:pPr>
        <w:ind w:left="1260" w:hanging="360"/>
      </w:pPr>
      <w:rPr>
        <w:rFonts w:ascii="Symbol" w:hAnsi="Symbol"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4F872946"/>
    <w:multiLevelType w:val="hybridMultilevel"/>
    <w:tmpl w:val="C62E7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6F4A5F"/>
    <w:multiLevelType w:val="hybridMultilevel"/>
    <w:tmpl w:val="AC08324C"/>
    <w:lvl w:ilvl="0" w:tplc="F814C35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B1E0B"/>
    <w:multiLevelType w:val="hybridMultilevel"/>
    <w:tmpl w:val="0008ABC0"/>
    <w:lvl w:ilvl="0" w:tplc="FEA256E8">
      <w:start w:val="1"/>
      <w:numFmt w:val="lowerLetter"/>
      <w:lvlText w:val="%1."/>
      <w:lvlJc w:val="left"/>
      <w:pPr>
        <w:ind w:left="720" w:hanging="360"/>
      </w:pPr>
      <w:rPr>
        <w:rFonts w:ascii="Calibri" w:hAnsi="Calibri"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11"/>
  </w:num>
  <w:num w:numId="6">
    <w:abstractNumId w:val="5"/>
  </w:num>
  <w:num w:numId="7">
    <w:abstractNumId w:val="16"/>
  </w:num>
  <w:num w:numId="8">
    <w:abstractNumId w:val="2"/>
  </w:num>
  <w:num w:numId="9">
    <w:abstractNumId w:val="12"/>
  </w:num>
  <w:num w:numId="10">
    <w:abstractNumId w:val="4"/>
  </w:num>
  <w:num w:numId="11">
    <w:abstractNumId w:val="14"/>
  </w:num>
  <w:num w:numId="12">
    <w:abstractNumId w:val="10"/>
  </w:num>
  <w:num w:numId="13">
    <w:abstractNumId w:val="0"/>
  </w:num>
  <w:num w:numId="14">
    <w:abstractNumId w:val="15"/>
  </w:num>
  <w:num w:numId="15">
    <w:abstractNumId w:val="1"/>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45057"/>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61"/>
    <w:rsid w:val="0000249A"/>
    <w:rsid w:val="00002862"/>
    <w:rsid w:val="00004AA1"/>
    <w:rsid w:val="00034F99"/>
    <w:rsid w:val="00040416"/>
    <w:rsid w:val="0004188C"/>
    <w:rsid w:val="000447FA"/>
    <w:rsid w:val="00056E13"/>
    <w:rsid w:val="0006282F"/>
    <w:rsid w:val="00065B25"/>
    <w:rsid w:val="00077332"/>
    <w:rsid w:val="00081AFD"/>
    <w:rsid w:val="00081F6F"/>
    <w:rsid w:val="00082FD6"/>
    <w:rsid w:val="00084FBE"/>
    <w:rsid w:val="00095BA6"/>
    <w:rsid w:val="000B7226"/>
    <w:rsid w:val="000D075F"/>
    <w:rsid w:val="000D2315"/>
    <w:rsid w:val="000D67D9"/>
    <w:rsid w:val="000E6020"/>
    <w:rsid w:val="000F2AC3"/>
    <w:rsid w:val="000F4416"/>
    <w:rsid w:val="001024D3"/>
    <w:rsid w:val="001067E7"/>
    <w:rsid w:val="0011167E"/>
    <w:rsid w:val="00116B69"/>
    <w:rsid w:val="00120113"/>
    <w:rsid w:val="00132D9E"/>
    <w:rsid w:val="0013356C"/>
    <w:rsid w:val="00140499"/>
    <w:rsid w:val="00151A95"/>
    <w:rsid w:val="00156416"/>
    <w:rsid w:val="00157DC3"/>
    <w:rsid w:val="00162610"/>
    <w:rsid w:val="00165CC2"/>
    <w:rsid w:val="00172BE1"/>
    <w:rsid w:val="001913F9"/>
    <w:rsid w:val="001A0792"/>
    <w:rsid w:val="001A195C"/>
    <w:rsid w:val="001A5BAA"/>
    <w:rsid w:val="001B4914"/>
    <w:rsid w:val="001B7B7F"/>
    <w:rsid w:val="001E5A30"/>
    <w:rsid w:val="001E7063"/>
    <w:rsid w:val="001F0EEB"/>
    <w:rsid w:val="001F49B2"/>
    <w:rsid w:val="001F6B3B"/>
    <w:rsid w:val="002051F3"/>
    <w:rsid w:val="00207BF7"/>
    <w:rsid w:val="0021116C"/>
    <w:rsid w:val="00214B23"/>
    <w:rsid w:val="00233FE9"/>
    <w:rsid w:val="00234ADC"/>
    <w:rsid w:val="002452F0"/>
    <w:rsid w:val="00251C02"/>
    <w:rsid w:val="002567EE"/>
    <w:rsid w:val="0026146E"/>
    <w:rsid w:val="002858E0"/>
    <w:rsid w:val="00295797"/>
    <w:rsid w:val="002A48D6"/>
    <w:rsid w:val="002C6753"/>
    <w:rsid w:val="002E1BF0"/>
    <w:rsid w:val="002E2BD6"/>
    <w:rsid w:val="00302248"/>
    <w:rsid w:val="00302264"/>
    <w:rsid w:val="00306937"/>
    <w:rsid w:val="00307401"/>
    <w:rsid w:val="00313F79"/>
    <w:rsid w:val="00317993"/>
    <w:rsid w:val="00320E5F"/>
    <w:rsid w:val="00324838"/>
    <w:rsid w:val="00325FE1"/>
    <w:rsid w:val="00327113"/>
    <w:rsid w:val="00327215"/>
    <w:rsid w:val="00347529"/>
    <w:rsid w:val="00354050"/>
    <w:rsid w:val="0036003B"/>
    <w:rsid w:val="003601B9"/>
    <w:rsid w:val="00392C77"/>
    <w:rsid w:val="00392D67"/>
    <w:rsid w:val="003B7DA6"/>
    <w:rsid w:val="003D7CE8"/>
    <w:rsid w:val="004008FF"/>
    <w:rsid w:val="00403EDC"/>
    <w:rsid w:val="004068BC"/>
    <w:rsid w:val="004102CC"/>
    <w:rsid w:val="004227B6"/>
    <w:rsid w:val="00423DCA"/>
    <w:rsid w:val="00424064"/>
    <w:rsid w:val="00444F9D"/>
    <w:rsid w:val="00452CD0"/>
    <w:rsid w:val="00456E2E"/>
    <w:rsid w:val="0047359E"/>
    <w:rsid w:val="004804FA"/>
    <w:rsid w:val="004825C2"/>
    <w:rsid w:val="0048701E"/>
    <w:rsid w:val="004874D6"/>
    <w:rsid w:val="00487E40"/>
    <w:rsid w:val="00494C4F"/>
    <w:rsid w:val="00495DF9"/>
    <w:rsid w:val="004A294C"/>
    <w:rsid w:val="004A686D"/>
    <w:rsid w:val="004C2469"/>
    <w:rsid w:val="004C4174"/>
    <w:rsid w:val="004C651D"/>
    <w:rsid w:val="004D5432"/>
    <w:rsid w:val="004D7175"/>
    <w:rsid w:val="004E0FE3"/>
    <w:rsid w:val="004E302A"/>
    <w:rsid w:val="004F1480"/>
    <w:rsid w:val="00503D46"/>
    <w:rsid w:val="00503E26"/>
    <w:rsid w:val="00516E1E"/>
    <w:rsid w:val="00521621"/>
    <w:rsid w:val="0052334D"/>
    <w:rsid w:val="00527316"/>
    <w:rsid w:val="00552EE3"/>
    <w:rsid w:val="00554A81"/>
    <w:rsid w:val="00555799"/>
    <w:rsid w:val="005576E9"/>
    <w:rsid w:val="005640FA"/>
    <w:rsid w:val="00571438"/>
    <w:rsid w:val="0057695F"/>
    <w:rsid w:val="00582680"/>
    <w:rsid w:val="00583A00"/>
    <w:rsid w:val="00584952"/>
    <w:rsid w:val="00586853"/>
    <w:rsid w:val="0059333E"/>
    <w:rsid w:val="005A0BAF"/>
    <w:rsid w:val="005A5C89"/>
    <w:rsid w:val="005A605E"/>
    <w:rsid w:val="005A6C0B"/>
    <w:rsid w:val="005B7989"/>
    <w:rsid w:val="005C1D8D"/>
    <w:rsid w:val="005C5DA2"/>
    <w:rsid w:val="005E0DAD"/>
    <w:rsid w:val="005F1A34"/>
    <w:rsid w:val="005F4AFD"/>
    <w:rsid w:val="005F5756"/>
    <w:rsid w:val="006007E2"/>
    <w:rsid w:val="00600925"/>
    <w:rsid w:val="00602988"/>
    <w:rsid w:val="00603A4F"/>
    <w:rsid w:val="00622A0B"/>
    <w:rsid w:val="006439C9"/>
    <w:rsid w:val="00656375"/>
    <w:rsid w:val="00660961"/>
    <w:rsid w:val="0066564F"/>
    <w:rsid w:val="0066674D"/>
    <w:rsid w:val="0066752D"/>
    <w:rsid w:val="00672971"/>
    <w:rsid w:val="006772F4"/>
    <w:rsid w:val="006804AD"/>
    <w:rsid w:val="006836FC"/>
    <w:rsid w:val="00694958"/>
    <w:rsid w:val="006A098B"/>
    <w:rsid w:val="006B2BFD"/>
    <w:rsid w:val="006C7850"/>
    <w:rsid w:val="006D13A4"/>
    <w:rsid w:val="006D3C47"/>
    <w:rsid w:val="006D42B3"/>
    <w:rsid w:val="006D4F68"/>
    <w:rsid w:val="006E26FD"/>
    <w:rsid w:val="006E57D0"/>
    <w:rsid w:val="006F3041"/>
    <w:rsid w:val="007334F9"/>
    <w:rsid w:val="00742103"/>
    <w:rsid w:val="007422B0"/>
    <w:rsid w:val="00743580"/>
    <w:rsid w:val="0075398A"/>
    <w:rsid w:val="007613A1"/>
    <w:rsid w:val="00771C8C"/>
    <w:rsid w:val="007744B1"/>
    <w:rsid w:val="007820B3"/>
    <w:rsid w:val="0078619C"/>
    <w:rsid w:val="00790BCA"/>
    <w:rsid w:val="00793741"/>
    <w:rsid w:val="00797FD4"/>
    <w:rsid w:val="007A7E78"/>
    <w:rsid w:val="007B0E7D"/>
    <w:rsid w:val="007B5507"/>
    <w:rsid w:val="007B7576"/>
    <w:rsid w:val="007D5697"/>
    <w:rsid w:val="007E71ED"/>
    <w:rsid w:val="007F6B75"/>
    <w:rsid w:val="00810CDE"/>
    <w:rsid w:val="008228A4"/>
    <w:rsid w:val="00822C61"/>
    <w:rsid w:val="00824ECA"/>
    <w:rsid w:val="008435FF"/>
    <w:rsid w:val="00843BA6"/>
    <w:rsid w:val="00850645"/>
    <w:rsid w:val="00864AF6"/>
    <w:rsid w:val="0087229E"/>
    <w:rsid w:val="00882573"/>
    <w:rsid w:val="00887A1D"/>
    <w:rsid w:val="00895E07"/>
    <w:rsid w:val="008A09ED"/>
    <w:rsid w:val="008A2AD9"/>
    <w:rsid w:val="008B1513"/>
    <w:rsid w:val="008C43DD"/>
    <w:rsid w:val="008C4B9F"/>
    <w:rsid w:val="008D64B4"/>
    <w:rsid w:val="008E45DE"/>
    <w:rsid w:val="008E66C9"/>
    <w:rsid w:val="008F23CB"/>
    <w:rsid w:val="0091032D"/>
    <w:rsid w:val="00921420"/>
    <w:rsid w:val="0092620E"/>
    <w:rsid w:val="009351CD"/>
    <w:rsid w:val="00940308"/>
    <w:rsid w:val="00940D02"/>
    <w:rsid w:val="0094352E"/>
    <w:rsid w:val="009447ED"/>
    <w:rsid w:val="0095402D"/>
    <w:rsid w:val="009556A1"/>
    <w:rsid w:val="00957575"/>
    <w:rsid w:val="009675A4"/>
    <w:rsid w:val="00977414"/>
    <w:rsid w:val="0099732A"/>
    <w:rsid w:val="009A0EA6"/>
    <w:rsid w:val="009A1BF8"/>
    <w:rsid w:val="009A57A1"/>
    <w:rsid w:val="009B08FF"/>
    <w:rsid w:val="009B3DF7"/>
    <w:rsid w:val="009B4EF1"/>
    <w:rsid w:val="009B620E"/>
    <w:rsid w:val="009C4846"/>
    <w:rsid w:val="009C4A90"/>
    <w:rsid w:val="009F1D71"/>
    <w:rsid w:val="00A01BC6"/>
    <w:rsid w:val="00A12AC6"/>
    <w:rsid w:val="00A14A98"/>
    <w:rsid w:val="00A150A6"/>
    <w:rsid w:val="00A157A2"/>
    <w:rsid w:val="00A203E7"/>
    <w:rsid w:val="00A232DD"/>
    <w:rsid w:val="00A23946"/>
    <w:rsid w:val="00A2467A"/>
    <w:rsid w:val="00A2581D"/>
    <w:rsid w:val="00A60200"/>
    <w:rsid w:val="00A616AB"/>
    <w:rsid w:val="00A61FEE"/>
    <w:rsid w:val="00A62616"/>
    <w:rsid w:val="00A70D8D"/>
    <w:rsid w:val="00A73BC3"/>
    <w:rsid w:val="00A825E6"/>
    <w:rsid w:val="00A842E4"/>
    <w:rsid w:val="00AA6B64"/>
    <w:rsid w:val="00AC3BFE"/>
    <w:rsid w:val="00AD5509"/>
    <w:rsid w:val="00AD5FBA"/>
    <w:rsid w:val="00AE0ED1"/>
    <w:rsid w:val="00B07071"/>
    <w:rsid w:val="00B1201B"/>
    <w:rsid w:val="00B22873"/>
    <w:rsid w:val="00B23277"/>
    <w:rsid w:val="00B353E4"/>
    <w:rsid w:val="00B40311"/>
    <w:rsid w:val="00B52020"/>
    <w:rsid w:val="00B63472"/>
    <w:rsid w:val="00B66B37"/>
    <w:rsid w:val="00B66BDB"/>
    <w:rsid w:val="00B70EEA"/>
    <w:rsid w:val="00B730B8"/>
    <w:rsid w:val="00B843F3"/>
    <w:rsid w:val="00B9490A"/>
    <w:rsid w:val="00BA6F12"/>
    <w:rsid w:val="00BC3699"/>
    <w:rsid w:val="00BC6973"/>
    <w:rsid w:val="00BD2E5A"/>
    <w:rsid w:val="00BD6123"/>
    <w:rsid w:val="00BD6E2A"/>
    <w:rsid w:val="00BE0645"/>
    <w:rsid w:val="00BE183E"/>
    <w:rsid w:val="00BE3CCA"/>
    <w:rsid w:val="00BE6578"/>
    <w:rsid w:val="00BE6CE4"/>
    <w:rsid w:val="00BF53EB"/>
    <w:rsid w:val="00C20ABD"/>
    <w:rsid w:val="00C2363F"/>
    <w:rsid w:val="00C26ADB"/>
    <w:rsid w:val="00C31943"/>
    <w:rsid w:val="00C35FBE"/>
    <w:rsid w:val="00C36EA5"/>
    <w:rsid w:val="00C4145E"/>
    <w:rsid w:val="00C457A6"/>
    <w:rsid w:val="00C46CC4"/>
    <w:rsid w:val="00C55006"/>
    <w:rsid w:val="00C56EC3"/>
    <w:rsid w:val="00C647D5"/>
    <w:rsid w:val="00C67D1D"/>
    <w:rsid w:val="00C75879"/>
    <w:rsid w:val="00C923FC"/>
    <w:rsid w:val="00CA4564"/>
    <w:rsid w:val="00CA4A6D"/>
    <w:rsid w:val="00CC6E23"/>
    <w:rsid w:val="00CD25DB"/>
    <w:rsid w:val="00CD57B0"/>
    <w:rsid w:val="00CE0B6B"/>
    <w:rsid w:val="00CE340D"/>
    <w:rsid w:val="00CE47A4"/>
    <w:rsid w:val="00CF0379"/>
    <w:rsid w:val="00CF0DE2"/>
    <w:rsid w:val="00D12F8D"/>
    <w:rsid w:val="00D16B99"/>
    <w:rsid w:val="00D216DC"/>
    <w:rsid w:val="00D270CD"/>
    <w:rsid w:val="00D42461"/>
    <w:rsid w:val="00D4721E"/>
    <w:rsid w:val="00D508DF"/>
    <w:rsid w:val="00D50A56"/>
    <w:rsid w:val="00D626BB"/>
    <w:rsid w:val="00D66894"/>
    <w:rsid w:val="00D70C26"/>
    <w:rsid w:val="00D7387F"/>
    <w:rsid w:val="00D84F8B"/>
    <w:rsid w:val="00D9497E"/>
    <w:rsid w:val="00D9589F"/>
    <w:rsid w:val="00D96CED"/>
    <w:rsid w:val="00DB4D8B"/>
    <w:rsid w:val="00DB5800"/>
    <w:rsid w:val="00DC5386"/>
    <w:rsid w:val="00DC787C"/>
    <w:rsid w:val="00DC7A14"/>
    <w:rsid w:val="00DD4CEA"/>
    <w:rsid w:val="00DE0CDE"/>
    <w:rsid w:val="00DF310E"/>
    <w:rsid w:val="00DF6CDF"/>
    <w:rsid w:val="00E16F11"/>
    <w:rsid w:val="00E23E39"/>
    <w:rsid w:val="00E24986"/>
    <w:rsid w:val="00E26E32"/>
    <w:rsid w:val="00E30D2A"/>
    <w:rsid w:val="00E36168"/>
    <w:rsid w:val="00E43836"/>
    <w:rsid w:val="00E446CE"/>
    <w:rsid w:val="00E46D57"/>
    <w:rsid w:val="00E53558"/>
    <w:rsid w:val="00E55B17"/>
    <w:rsid w:val="00E660BB"/>
    <w:rsid w:val="00E7490C"/>
    <w:rsid w:val="00E75431"/>
    <w:rsid w:val="00E86CE6"/>
    <w:rsid w:val="00E93D0A"/>
    <w:rsid w:val="00E95679"/>
    <w:rsid w:val="00E97D73"/>
    <w:rsid w:val="00EB3C73"/>
    <w:rsid w:val="00EB55E3"/>
    <w:rsid w:val="00EB58E3"/>
    <w:rsid w:val="00EB70AE"/>
    <w:rsid w:val="00EC16E7"/>
    <w:rsid w:val="00EC361B"/>
    <w:rsid w:val="00EC747A"/>
    <w:rsid w:val="00ED1174"/>
    <w:rsid w:val="00EE61D3"/>
    <w:rsid w:val="00EE6D8D"/>
    <w:rsid w:val="00EE6FD0"/>
    <w:rsid w:val="00EF171B"/>
    <w:rsid w:val="00EF1DAD"/>
    <w:rsid w:val="00EF5C2A"/>
    <w:rsid w:val="00F05CDB"/>
    <w:rsid w:val="00F07384"/>
    <w:rsid w:val="00F07C67"/>
    <w:rsid w:val="00F139C7"/>
    <w:rsid w:val="00F17D42"/>
    <w:rsid w:val="00F25CCA"/>
    <w:rsid w:val="00F4241C"/>
    <w:rsid w:val="00F5224B"/>
    <w:rsid w:val="00F56248"/>
    <w:rsid w:val="00F60CB7"/>
    <w:rsid w:val="00F72247"/>
    <w:rsid w:val="00F804E8"/>
    <w:rsid w:val="00F928CB"/>
    <w:rsid w:val="00F95151"/>
    <w:rsid w:val="00FB2FBC"/>
    <w:rsid w:val="00FC620A"/>
    <w:rsid w:val="00FD2535"/>
    <w:rsid w:val="00FD6CE6"/>
    <w:rsid w:val="00FD7067"/>
    <w:rsid w:val="00FE2CBD"/>
    <w:rsid w:val="00FF1485"/>
    <w:rsid w:val="00FF2493"/>
    <w:rsid w:val="00FF3E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2C61"/>
    <w:rPr>
      <w:sz w:val="22"/>
      <w:szCs w:val="22"/>
    </w:rPr>
  </w:style>
  <w:style w:type="paragraph" w:styleId="ListParagraph">
    <w:name w:val="List Paragraph"/>
    <w:basedOn w:val="Normal"/>
    <w:uiPriority w:val="34"/>
    <w:qFormat/>
    <w:rsid w:val="006B2BFD"/>
    <w:pPr>
      <w:ind w:left="720"/>
      <w:contextualSpacing/>
    </w:pPr>
  </w:style>
  <w:style w:type="paragraph" w:styleId="Header">
    <w:name w:val="header"/>
    <w:basedOn w:val="Normal"/>
    <w:link w:val="HeaderChar"/>
    <w:uiPriority w:val="99"/>
    <w:unhideWhenUsed/>
    <w:rsid w:val="00E46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D57"/>
  </w:style>
  <w:style w:type="paragraph" w:styleId="Footer">
    <w:name w:val="footer"/>
    <w:basedOn w:val="Normal"/>
    <w:link w:val="FooterChar"/>
    <w:uiPriority w:val="99"/>
    <w:unhideWhenUsed/>
    <w:rsid w:val="00E46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D57"/>
  </w:style>
  <w:style w:type="paragraph" w:styleId="BalloonText">
    <w:name w:val="Balloon Text"/>
    <w:basedOn w:val="Normal"/>
    <w:link w:val="BalloonTextChar"/>
    <w:uiPriority w:val="99"/>
    <w:semiHidden/>
    <w:unhideWhenUsed/>
    <w:rsid w:val="0032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38"/>
    <w:rPr>
      <w:rFonts w:ascii="Tahoma" w:hAnsi="Tahoma" w:cs="Tahoma"/>
      <w:sz w:val="16"/>
      <w:szCs w:val="16"/>
    </w:rPr>
  </w:style>
  <w:style w:type="character" w:styleId="PlaceholderText">
    <w:name w:val="Placeholder Text"/>
    <w:basedOn w:val="DefaultParagraphFont"/>
    <w:uiPriority w:val="99"/>
    <w:semiHidden/>
    <w:rsid w:val="00F95151"/>
    <w:rPr>
      <w:color w:val="808080"/>
    </w:rPr>
  </w:style>
  <w:style w:type="paragraph" w:styleId="FootnoteText">
    <w:name w:val="footnote text"/>
    <w:basedOn w:val="Normal"/>
    <w:link w:val="FootnoteTextChar"/>
    <w:uiPriority w:val="99"/>
    <w:semiHidden/>
    <w:unhideWhenUsed/>
    <w:rsid w:val="006D4F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F68"/>
    <w:rPr>
      <w:sz w:val="20"/>
      <w:szCs w:val="20"/>
    </w:rPr>
  </w:style>
  <w:style w:type="character" w:styleId="FootnoteReference">
    <w:name w:val="footnote reference"/>
    <w:basedOn w:val="DefaultParagraphFont"/>
    <w:uiPriority w:val="99"/>
    <w:semiHidden/>
    <w:unhideWhenUsed/>
    <w:rsid w:val="006D4F68"/>
    <w:rPr>
      <w:vertAlign w:val="superscript"/>
    </w:rPr>
  </w:style>
  <w:style w:type="character" w:customStyle="1" w:styleId="GrayReg11">
    <w:name w:val="GrayReg11"/>
    <w:basedOn w:val="DefaultParagraphFont"/>
    <w:uiPriority w:val="1"/>
    <w:rsid w:val="00D7387F"/>
    <w:rPr>
      <w:rFonts w:ascii="Calibri" w:hAnsi="Calibri"/>
      <w:color w:val="808080"/>
      <w:sz w:val="22"/>
    </w:rPr>
  </w:style>
  <w:style w:type="character" w:customStyle="1" w:styleId="BlackBoldItal11">
    <w:name w:val="BlackBoldItal11"/>
    <w:basedOn w:val="DefaultParagraphFont"/>
    <w:uiPriority w:val="1"/>
    <w:rsid w:val="00D7387F"/>
    <w:rPr>
      <w:rFonts w:ascii="Calibri" w:hAnsi="Calibri"/>
      <w:b/>
      <w:i/>
      <w:sz w:val="22"/>
    </w:rPr>
  </w:style>
  <w:style w:type="character" w:customStyle="1" w:styleId="BlackReg11">
    <w:name w:val="BlackReg11"/>
    <w:basedOn w:val="DefaultParagraphFont"/>
    <w:uiPriority w:val="1"/>
    <w:rsid w:val="00D7387F"/>
    <w:rPr>
      <w:rFonts w:ascii="Calibri" w:hAnsi="Calibri"/>
      <w:color w:val="000000"/>
      <w:sz w:val="22"/>
    </w:rPr>
  </w:style>
  <w:style w:type="character" w:customStyle="1" w:styleId="BlackItal11">
    <w:name w:val="BlackItal11"/>
    <w:basedOn w:val="DefaultParagraphFont"/>
    <w:uiPriority w:val="1"/>
    <w:rsid w:val="00325FE1"/>
    <w:rPr>
      <w:rFonts w:ascii="Calibri" w:hAnsi="Calibri"/>
      <w:color w:val="auto"/>
      <w:sz w:val="22"/>
    </w:rPr>
  </w:style>
  <w:style w:type="character" w:customStyle="1" w:styleId="GrayReg10">
    <w:name w:val="GrayReg10"/>
    <w:basedOn w:val="DefaultParagraphFont"/>
    <w:uiPriority w:val="1"/>
    <w:rsid w:val="00325FE1"/>
    <w:rPr>
      <w:rFonts w:ascii="Calibri" w:hAnsi="Calibri"/>
      <w:color w:val="808080"/>
      <w:sz w:val="20"/>
    </w:rPr>
  </w:style>
  <w:style w:type="character" w:customStyle="1" w:styleId="GrayRegCaps10">
    <w:name w:val="GrayRegCaps10"/>
    <w:basedOn w:val="DefaultParagraphFont"/>
    <w:uiPriority w:val="1"/>
    <w:rsid w:val="00FD2535"/>
    <w:rPr>
      <w:rFonts w:ascii="Calibri" w:hAnsi="Calibri"/>
      <w:caps w:val="0"/>
      <w:smallCaps/>
      <w:strike w:val="0"/>
      <w:dstrike w:val="0"/>
      <w:vanish w:val="0"/>
      <w:color w:val="808080"/>
      <w:sz w:val="20"/>
      <w:vertAlign w:val="baseline"/>
    </w:rPr>
  </w:style>
  <w:style w:type="character" w:customStyle="1" w:styleId="GrayReg11Paragraph">
    <w:name w:val="GrayReg11Paragraph"/>
    <w:basedOn w:val="DefaultParagraphFont"/>
    <w:uiPriority w:val="1"/>
    <w:rsid w:val="00FD2535"/>
    <w:rPr>
      <w:rFonts w:ascii="Calibri" w:hAnsi="Calibri"/>
      <w:color w:val="808080"/>
      <w:sz w:val="22"/>
    </w:rPr>
  </w:style>
  <w:style w:type="character" w:styleId="CommentReference">
    <w:name w:val="annotation reference"/>
    <w:basedOn w:val="DefaultParagraphFont"/>
    <w:uiPriority w:val="99"/>
    <w:semiHidden/>
    <w:unhideWhenUsed/>
    <w:rsid w:val="00040416"/>
    <w:rPr>
      <w:sz w:val="16"/>
      <w:szCs w:val="16"/>
    </w:rPr>
  </w:style>
  <w:style w:type="paragraph" w:styleId="CommentText">
    <w:name w:val="annotation text"/>
    <w:basedOn w:val="Normal"/>
    <w:link w:val="CommentTextChar"/>
    <w:uiPriority w:val="99"/>
    <w:semiHidden/>
    <w:unhideWhenUsed/>
    <w:rsid w:val="00040416"/>
    <w:pPr>
      <w:spacing w:line="240" w:lineRule="auto"/>
    </w:pPr>
    <w:rPr>
      <w:sz w:val="20"/>
      <w:szCs w:val="20"/>
    </w:rPr>
  </w:style>
  <w:style w:type="character" w:customStyle="1" w:styleId="CommentTextChar">
    <w:name w:val="Comment Text Char"/>
    <w:basedOn w:val="DefaultParagraphFont"/>
    <w:link w:val="CommentText"/>
    <w:uiPriority w:val="99"/>
    <w:semiHidden/>
    <w:rsid w:val="00040416"/>
    <w:rPr>
      <w:sz w:val="20"/>
      <w:szCs w:val="20"/>
    </w:rPr>
  </w:style>
  <w:style w:type="paragraph" w:styleId="CommentSubject">
    <w:name w:val="annotation subject"/>
    <w:basedOn w:val="CommentText"/>
    <w:next w:val="CommentText"/>
    <w:link w:val="CommentSubjectChar"/>
    <w:uiPriority w:val="99"/>
    <w:semiHidden/>
    <w:unhideWhenUsed/>
    <w:rsid w:val="00040416"/>
    <w:rPr>
      <w:b/>
      <w:bCs/>
    </w:rPr>
  </w:style>
  <w:style w:type="character" w:customStyle="1" w:styleId="CommentSubjectChar">
    <w:name w:val="Comment Subject Char"/>
    <w:basedOn w:val="CommentTextChar"/>
    <w:link w:val="CommentSubject"/>
    <w:uiPriority w:val="99"/>
    <w:semiHidden/>
    <w:rsid w:val="00040416"/>
    <w:rPr>
      <w:b/>
      <w:bCs/>
      <w:sz w:val="20"/>
      <w:szCs w:val="20"/>
    </w:rPr>
  </w:style>
  <w:style w:type="paragraph" w:customStyle="1" w:styleId="Default">
    <w:name w:val="Default"/>
    <w:rsid w:val="00793741"/>
    <w:pPr>
      <w:widowControl w:val="0"/>
      <w:autoSpaceDE w:val="0"/>
      <w:autoSpaceDN w:val="0"/>
      <w:adjustRightInd w:val="0"/>
    </w:pPr>
    <w:rPr>
      <w:rFonts w:ascii="TimesNewRoman" w:eastAsia="Times New Roman" w:hAnsi="TimesNewRoman"/>
      <w:color w:val="000000"/>
      <w:sz w:val="24"/>
    </w:rPr>
  </w:style>
  <w:style w:type="paragraph" w:styleId="Revision">
    <w:name w:val="Revision"/>
    <w:hidden/>
    <w:uiPriority w:val="99"/>
    <w:semiHidden/>
    <w:rsid w:val="0066564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2C61"/>
    <w:rPr>
      <w:sz w:val="22"/>
      <w:szCs w:val="22"/>
    </w:rPr>
  </w:style>
  <w:style w:type="paragraph" w:styleId="ListParagraph">
    <w:name w:val="List Paragraph"/>
    <w:basedOn w:val="Normal"/>
    <w:uiPriority w:val="34"/>
    <w:qFormat/>
    <w:rsid w:val="006B2BFD"/>
    <w:pPr>
      <w:ind w:left="720"/>
      <w:contextualSpacing/>
    </w:pPr>
  </w:style>
  <w:style w:type="paragraph" w:styleId="Header">
    <w:name w:val="header"/>
    <w:basedOn w:val="Normal"/>
    <w:link w:val="HeaderChar"/>
    <w:uiPriority w:val="99"/>
    <w:unhideWhenUsed/>
    <w:rsid w:val="00E46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D57"/>
  </w:style>
  <w:style w:type="paragraph" w:styleId="Footer">
    <w:name w:val="footer"/>
    <w:basedOn w:val="Normal"/>
    <w:link w:val="FooterChar"/>
    <w:uiPriority w:val="99"/>
    <w:unhideWhenUsed/>
    <w:rsid w:val="00E46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D57"/>
  </w:style>
  <w:style w:type="paragraph" w:styleId="BalloonText">
    <w:name w:val="Balloon Text"/>
    <w:basedOn w:val="Normal"/>
    <w:link w:val="BalloonTextChar"/>
    <w:uiPriority w:val="99"/>
    <w:semiHidden/>
    <w:unhideWhenUsed/>
    <w:rsid w:val="0032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38"/>
    <w:rPr>
      <w:rFonts w:ascii="Tahoma" w:hAnsi="Tahoma" w:cs="Tahoma"/>
      <w:sz w:val="16"/>
      <w:szCs w:val="16"/>
    </w:rPr>
  </w:style>
  <w:style w:type="character" w:styleId="PlaceholderText">
    <w:name w:val="Placeholder Text"/>
    <w:basedOn w:val="DefaultParagraphFont"/>
    <w:uiPriority w:val="99"/>
    <w:semiHidden/>
    <w:rsid w:val="00F95151"/>
    <w:rPr>
      <w:color w:val="808080"/>
    </w:rPr>
  </w:style>
  <w:style w:type="paragraph" w:styleId="FootnoteText">
    <w:name w:val="footnote text"/>
    <w:basedOn w:val="Normal"/>
    <w:link w:val="FootnoteTextChar"/>
    <w:uiPriority w:val="99"/>
    <w:semiHidden/>
    <w:unhideWhenUsed/>
    <w:rsid w:val="006D4F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F68"/>
    <w:rPr>
      <w:sz w:val="20"/>
      <w:szCs w:val="20"/>
    </w:rPr>
  </w:style>
  <w:style w:type="character" w:styleId="FootnoteReference">
    <w:name w:val="footnote reference"/>
    <w:basedOn w:val="DefaultParagraphFont"/>
    <w:uiPriority w:val="99"/>
    <w:semiHidden/>
    <w:unhideWhenUsed/>
    <w:rsid w:val="006D4F68"/>
    <w:rPr>
      <w:vertAlign w:val="superscript"/>
    </w:rPr>
  </w:style>
  <w:style w:type="character" w:customStyle="1" w:styleId="GrayReg11">
    <w:name w:val="GrayReg11"/>
    <w:basedOn w:val="DefaultParagraphFont"/>
    <w:uiPriority w:val="1"/>
    <w:rsid w:val="00D7387F"/>
    <w:rPr>
      <w:rFonts w:ascii="Calibri" w:hAnsi="Calibri"/>
      <w:color w:val="808080"/>
      <w:sz w:val="22"/>
    </w:rPr>
  </w:style>
  <w:style w:type="character" w:customStyle="1" w:styleId="BlackBoldItal11">
    <w:name w:val="BlackBoldItal11"/>
    <w:basedOn w:val="DefaultParagraphFont"/>
    <w:uiPriority w:val="1"/>
    <w:rsid w:val="00D7387F"/>
    <w:rPr>
      <w:rFonts w:ascii="Calibri" w:hAnsi="Calibri"/>
      <w:b/>
      <w:i/>
      <w:sz w:val="22"/>
    </w:rPr>
  </w:style>
  <w:style w:type="character" w:customStyle="1" w:styleId="BlackReg11">
    <w:name w:val="BlackReg11"/>
    <w:basedOn w:val="DefaultParagraphFont"/>
    <w:uiPriority w:val="1"/>
    <w:rsid w:val="00D7387F"/>
    <w:rPr>
      <w:rFonts w:ascii="Calibri" w:hAnsi="Calibri"/>
      <w:color w:val="000000"/>
      <w:sz w:val="22"/>
    </w:rPr>
  </w:style>
  <w:style w:type="character" w:customStyle="1" w:styleId="BlackItal11">
    <w:name w:val="BlackItal11"/>
    <w:basedOn w:val="DefaultParagraphFont"/>
    <w:uiPriority w:val="1"/>
    <w:rsid w:val="00325FE1"/>
    <w:rPr>
      <w:rFonts w:ascii="Calibri" w:hAnsi="Calibri"/>
      <w:color w:val="auto"/>
      <w:sz w:val="22"/>
    </w:rPr>
  </w:style>
  <w:style w:type="character" w:customStyle="1" w:styleId="GrayReg10">
    <w:name w:val="GrayReg10"/>
    <w:basedOn w:val="DefaultParagraphFont"/>
    <w:uiPriority w:val="1"/>
    <w:rsid w:val="00325FE1"/>
    <w:rPr>
      <w:rFonts w:ascii="Calibri" w:hAnsi="Calibri"/>
      <w:color w:val="808080"/>
      <w:sz w:val="20"/>
    </w:rPr>
  </w:style>
  <w:style w:type="character" w:customStyle="1" w:styleId="GrayRegCaps10">
    <w:name w:val="GrayRegCaps10"/>
    <w:basedOn w:val="DefaultParagraphFont"/>
    <w:uiPriority w:val="1"/>
    <w:rsid w:val="00FD2535"/>
    <w:rPr>
      <w:rFonts w:ascii="Calibri" w:hAnsi="Calibri"/>
      <w:caps w:val="0"/>
      <w:smallCaps/>
      <w:strike w:val="0"/>
      <w:dstrike w:val="0"/>
      <w:vanish w:val="0"/>
      <w:color w:val="808080"/>
      <w:sz w:val="20"/>
      <w:vertAlign w:val="baseline"/>
    </w:rPr>
  </w:style>
  <w:style w:type="character" w:customStyle="1" w:styleId="GrayReg11Paragraph">
    <w:name w:val="GrayReg11Paragraph"/>
    <w:basedOn w:val="DefaultParagraphFont"/>
    <w:uiPriority w:val="1"/>
    <w:rsid w:val="00FD2535"/>
    <w:rPr>
      <w:rFonts w:ascii="Calibri" w:hAnsi="Calibri"/>
      <w:color w:val="808080"/>
      <w:sz w:val="22"/>
    </w:rPr>
  </w:style>
  <w:style w:type="character" w:styleId="CommentReference">
    <w:name w:val="annotation reference"/>
    <w:basedOn w:val="DefaultParagraphFont"/>
    <w:uiPriority w:val="99"/>
    <w:semiHidden/>
    <w:unhideWhenUsed/>
    <w:rsid w:val="00040416"/>
    <w:rPr>
      <w:sz w:val="16"/>
      <w:szCs w:val="16"/>
    </w:rPr>
  </w:style>
  <w:style w:type="paragraph" w:styleId="CommentText">
    <w:name w:val="annotation text"/>
    <w:basedOn w:val="Normal"/>
    <w:link w:val="CommentTextChar"/>
    <w:uiPriority w:val="99"/>
    <w:semiHidden/>
    <w:unhideWhenUsed/>
    <w:rsid w:val="00040416"/>
    <w:pPr>
      <w:spacing w:line="240" w:lineRule="auto"/>
    </w:pPr>
    <w:rPr>
      <w:sz w:val="20"/>
      <w:szCs w:val="20"/>
    </w:rPr>
  </w:style>
  <w:style w:type="character" w:customStyle="1" w:styleId="CommentTextChar">
    <w:name w:val="Comment Text Char"/>
    <w:basedOn w:val="DefaultParagraphFont"/>
    <w:link w:val="CommentText"/>
    <w:uiPriority w:val="99"/>
    <w:semiHidden/>
    <w:rsid w:val="00040416"/>
    <w:rPr>
      <w:sz w:val="20"/>
      <w:szCs w:val="20"/>
    </w:rPr>
  </w:style>
  <w:style w:type="paragraph" w:styleId="CommentSubject">
    <w:name w:val="annotation subject"/>
    <w:basedOn w:val="CommentText"/>
    <w:next w:val="CommentText"/>
    <w:link w:val="CommentSubjectChar"/>
    <w:uiPriority w:val="99"/>
    <w:semiHidden/>
    <w:unhideWhenUsed/>
    <w:rsid w:val="00040416"/>
    <w:rPr>
      <w:b/>
      <w:bCs/>
    </w:rPr>
  </w:style>
  <w:style w:type="character" w:customStyle="1" w:styleId="CommentSubjectChar">
    <w:name w:val="Comment Subject Char"/>
    <w:basedOn w:val="CommentTextChar"/>
    <w:link w:val="CommentSubject"/>
    <w:uiPriority w:val="99"/>
    <w:semiHidden/>
    <w:rsid w:val="00040416"/>
    <w:rPr>
      <w:b/>
      <w:bCs/>
      <w:sz w:val="20"/>
      <w:szCs w:val="20"/>
    </w:rPr>
  </w:style>
  <w:style w:type="paragraph" w:customStyle="1" w:styleId="Default">
    <w:name w:val="Default"/>
    <w:rsid w:val="00793741"/>
    <w:pPr>
      <w:widowControl w:val="0"/>
      <w:autoSpaceDE w:val="0"/>
      <w:autoSpaceDN w:val="0"/>
      <w:adjustRightInd w:val="0"/>
    </w:pPr>
    <w:rPr>
      <w:rFonts w:ascii="TimesNewRoman" w:eastAsia="Times New Roman" w:hAnsi="TimesNewRoman"/>
      <w:color w:val="000000"/>
      <w:sz w:val="24"/>
    </w:rPr>
  </w:style>
  <w:style w:type="paragraph" w:styleId="Revision">
    <w:name w:val="Revision"/>
    <w:hidden/>
    <w:uiPriority w:val="99"/>
    <w:semiHidden/>
    <w:rsid w:val="006656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3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root>
</file>

<file path=customXml/item2.xml><?xml version="1.0" encoding="utf-8"?>
<root>
  <campus/>
  <projectname/>
  <projectnumber/>
  <datecfp/>
  <titledatelrdp/>
</root>
</file>

<file path=customXml/item3.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D352AD23-7875-45E1-8A7B-8916746F3656}">
  <ds:schemaRefs/>
</ds:datastoreItem>
</file>

<file path=customXml/itemProps2.xml><?xml version="1.0" encoding="utf-8"?>
<ds:datastoreItem xmlns:ds="http://schemas.openxmlformats.org/officeDocument/2006/customXml" ds:itemID="{E729EEE7-A3F6-4E54-8DCD-764E49F41187}">
  <ds:schemaRefs/>
</ds:datastoreItem>
</file>

<file path=customXml/itemProps3.xml><?xml version="1.0" encoding="utf-8"?>
<ds:datastoreItem xmlns:ds="http://schemas.openxmlformats.org/officeDocument/2006/customXml" ds:itemID="{6E19C6F8-6ED2-42B4-827E-74F0B280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UCOP - Office of the President</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Santa Cruz</dc:creator>
  <cp:lastModifiedBy>Windows User</cp:lastModifiedBy>
  <cp:revision>2</cp:revision>
  <cp:lastPrinted>2015-08-06T00:21:00Z</cp:lastPrinted>
  <dcterms:created xsi:type="dcterms:W3CDTF">2017-04-05T16:37:00Z</dcterms:created>
  <dcterms:modified xsi:type="dcterms:W3CDTF">2017-04-05T16:37:00Z</dcterms:modified>
</cp:coreProperties>
</file>